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pPr>
    </w:p>
    <w:p>
      <w:pPr>
        <w:spacing w:after="80" w:before="0"/>
        <w:jc w:val="left"/>
      </w:pPr>
      <w:r>
        <w:rPr>
          <w:rFonts w:ascii="Arial" w:cs="Arial" w:eastAsia="Arial" w:hAnsi="Arial"/>
          <w:b/>
          <w:bCs/>
          <w:color w:val="1A6FE8"/>
          <w:sz w:val="56"/>
          <w:szCs w:val="56"/>
        </w:rPr>
        <w:t xml:space="preserve">QUANTALABS</w:t>
      </w:r>
    </w:p>
    <w:p>
      <w:pPr>
        <w:spacing w:after="400" w:before="0"/>
        <w:jc w:val="left"/>
      </w:pPr>
      <w:r>
        <w:rPr>
          <w:rFonts w:ascii="Arial" w:cs="Arial" w:eastAsia="Arial" w:hAnsi="Arial"/>
          <w:color w:val="4A5568"/>
          <w:sz w:val="26"/>
          <w:szCs w:val="26"/>
        </w:rPr>
        <w:t xml:space="preserve">Post-Quantum Cryptography Engineering</w:t>
      </w:r>
    </w:p>
    <w:p>
      <w:pPr>
        <w:pBdr>
          <w:bottom w:val="single" w:color="1A6FE8" w:sz="12" w:space="0"/>
        </w:pBdr>
        <w:spacing w:after="400" w:before="0"/>
      </w:pPr>
    </w:p>
    <w:p>
      <w:pPr>
        <w:spacing w:after="0" w:before="400"/>
      </w:pPr>
    </w:p>
    <w:p>
      <w:pPr>
        <w:spacing w:after="120" w:before="0"/>
        <w:jc w:val="left"/>
      </w:pPr>
      <w:r>
        <w:rPr>
          <w:rFonts w:ascii="Arial" w:cs="Arial" w:eastAsia="Arial" w:hAnsi="Arial"/>
          <w:b/>
          <w:bCs/>
          <w:color w:val="0A1628"/>
          <w:sz w:val="52"/>
          <w:szCs w:val="52"/>
        </w:rPr>
        <w:t xml:space="preserve">PQC READINESS ASSESSMENT</w:t>
      </w:r>
    </w:p>
    <w:p>
      <w:pPr>
        <w:spacing w:after="600" w:before="0"/>
        <w:jc w:val="left"/>
      </w:pPr>
      <w:r>
        <w:rPr>
          <w:rFonts w:ascii="Arial" w:cs="Arial" w:eastAsia="Arial" w:hAnsi="Arial"/>
          <w:color w:val="4A5568"/>
          <w:sz w:val="28"/>
          <w:szCs w:val="28"/>
        </w:rPr>
        <w:t xml:space="preserve">Cryptographic Vulnerability &amp; Quantum Risk Report</w:t>
      </w:r>
    </w:p>
    <w:p>
      <w:pPr>
        <w:spacing w:after="0" w:before="600"/>
      </w:pPr>
    </w:p>
    <w:p>
      <w:pPr>
        <w:spacing w:after="100" w:before="0"/>
        <w:jc w:val="left"/>
      </w:pPr>
      <w:r>
        <w:rPr>
          <w:rFonts w:ascii="Arial" w:cs="Arial" w:eastAsia="Arial" w:hAnsi="Arial"/>
          <w:i/>
          <w:iCs/>
          <w:color w:val="4A5568"/>
          <w:sz w:val="22"/>
          <w:szCs w:val="22"/>
        </w:rPr>
        <w:t xml:space="preserve">Prepared for:</w:t>
      </w:r>
    </w:p>
    <w:p>
      <w:pPr>
        <w:spacing w:after="60" w:before="0"/>
        <w:jc w:val="left"/>
      </w:pPr>
      <w:r>
        <w:rPr>
          <w:rFonts w:ascii="Arial" w:cs="Arial" w:eastAsia="Arial" w:hAnsi="Arial"/>
          <w:b/>
          <w:bCs/>
          <w:color w:val="0A1628"/>
          <w:sz w:val="30"/>
          <w:szCs w:val="30"/>
        </w:rPr>
        <w:t xml:space="preserve">[CLIENT COMPANY NAME]</w:t>
      </w:r>
    </w:p>
    <w:p>
      <w:pPr>
        <w:spacing w:after="400" w:before="0"/>
        <w:jc w:val="left"/>
      </w:pPr>
      <w:r>
        <w:rPr>
          <w:rFonts w:ascii="Arial" w:cs="Arial" w:eastAsia="Arial" w:hAnsi="Arial"/>
          <w:color w:val="4A5568"/>
          <w:sz w:val="22"/>
          <w:szCs w:val="22"/>
        </w:rPr>
        <w:t xml:space="preserve">[Client Industry] | [City, Country]</w:t>
      </w:r>
    </w:p>
    <w:p>
      <w:pPr>
        <w:spacing w:after="0" w:before="200"/>
      </w:pPr>
    </w:p>
    <w:tbl>
      <w:tblPr>
        <w:tblW w:type="dxa" w:w="440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tblGrid>
      <w:tr>
        <w:tc>
          <w:tcPr>
            <w:tcW w:type="dxa" w:w="2000"/>
            <w:tcBorders>
              <w:top w:val="none" w:color="FFFFFF" w:sz="0"/>
              <w:left w:val="none" w:color="FFFFFF" w:sz="0"/>
              <w:bottom w:val="none" w:color="FFFFFF" w:sz="0"/>
              <w:right w:val="none" w:color="FFFFFF" w:sz="0"/>
            </w:tcBorders>
            <w:shd w:fill="F7F9FC" w:val="clear"/>
            <w:tcMar>
              <w:top w:type="dxa" w:w="100"/>
              <w:left w:type="dxa" w:w="160"/>
              <w:bottom w:type="dxa" w:w="100"/>
              <w:right w:type="dxa" w:w="160"/>
            </w:tcMar>
          </w:tcPr>
          <w:p>
            <w:r>
              <w:rPr>
                <w:rFonts w:ascii="Arial" w:cs="Arial" w:eastAsia="Arial" w:hAnsi="Arial"/>
                <w:b/>
                <w:bCs/>
                <w:color w:val="0A1628"/>
                <w:sz w:val="20"/>
                <w:szCs w:val="20"/>
              </w:rPr>
              <w:t xml:space="preserve">Assessment Date</w:t>
            </w:r>
          </w:p>
        </w:tc>
        <w:tc>
          <w:tcPr>
            <w:tcW w:type="dxa" w:w="2400"/>
            <w:tcBorders>
              <w:top w:val="none" w:color="FFFFFF" w:sz="0"/>
              <w:left w:val="none" w:color="FFFFFF" w:sz="0"/>
              <w:bottom w:val="none" w:color="FFFFFF" w:sz="0"/>
              <w:right w:val="none" w:color="FFFFFF" w:sz="0"/>
            </w:tcBorders>
            <w:shd w:fill="F7F9FC" w:val="clear"/>
            <w:tcMar>
              <w:top w:type="dxa" w:w="100"/>
              <w:left w:type="dxa" w:w="160"/>
              <w:bottom w:type="dxa" w:w="100"/>
              <w:right w:type="dxa" w:w="160"/>
            </w:tcMar>
          </w:tcPr>
          <w:p>
            <w:r>
              <w:rPr>
                <w:rFonts w:ascii="Arial" w:cs="Arial" w:eastAsia="Arial" w:hAnsi="Arial"/>
                <w:color w:val="4A5568"/>
                <w:sz w:val="20"/>
                <w:szCs w:val="20"/>
              </w:rPr>
              <w:t xml:space="preserve">[DD Month YYYY]</w:t>
            </w:r>
          </w:p>
        </w:tc>
      </w:tr>
      <w:tr>
        <w:tc>
          <w:tcPr>
            <w:tcW w:type="dxa" w:w="20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Report Version</w:t>
            </w:r>
          </w:p>
        </w:tc>
        <w:tc>
          <w:tcPr>
            <w:tcW w:type="dxa" w:w="240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tcPr>
          <w:p>
            <w:r>
              <w:rPr>
                <w:rFonts w:ascii="Arial" w:cs="Arial" w:eastAsia="Arial" w:hAnsi="Arial"/>
                <w:color w:val="4A5568"/>
                <w:sz w:val="20"/>
                <w:szCs w:val="20"/>
              </w:rPr>
              <w:t xml:space="preserve">v1.0 — Confidential</w:t>
            </w:r>
          </w:p>
        </w:tc>
      </w:tr>
      <w:tr>
        <w:tc>
          <w:tcPr>
            <w:tcW w:type="dxa" w:w="2000"/>
            <w:tcBorders>
              <w:top w:val="none" w:color="FFFFFF" w:sz="0"/>
              <w:left w:val="none" w:color="FFFFFF" w:sz="0"/>
              <w:bottom w:val="none" w:color="FFFFFF" w:sz="0"/>
              <w:right w:val="none" w:color="FFFFFF" w:sz="0"/>
            </w:tcBorders>
            <w:shd w:fill="F7F9FC" w:val="clear"/>
            <w:tcMar>
              <w:top w:type="dxa" w:w="100"/>
              <w:left w:type="dxa" w:w="160"/>
              <w:bottom w:type="dxa" w:w="100"/>
              <w:right w:type="dxa" w:w="160"/>
            </w:tcMar>
          </w:tcPr>
          <w:p>
            <w:r>
              <w:rPr>
                <w:rFonts w:ascii="Arial" w:cs="Arial" w:eastAsia="Arial" w:hAnsi="Arial"/>
                <w:b/>
                <w:bCs/>
                <w:color w:val="0A1628"/>
                <w:sz w:val="20"/>
                <w:szCs w:val="20"/>
              </w:rPr>
              <w:t xml:space="preserve">Lead Assessor</w:t>
            </w:r>
          </w:p>
        </w:tc>
        <w:tc>
          <w:tcPr>
            <w:tcW w:type="dxa" w:w="2400"/>
            <w:tcBorders>
              <w:top w:val="none" w:color="FFFFFF" w:sz="0"/>
              <w:left w:val="none" w:color="FFFFFF" w:sz="0"/>
              <w:bottom w:val="none" w:color="FFFFFF" w:sz="0"/>
              <w:right w:val="none" w:color="FFFFFF" w:sz="0"/>
            </w:tcBorders>
            <w:shd w:fill="F7F9FC" w:val="clear"/>
            <w:tcMar>
              <w:top w:type="dxa" w:w="100"/>
              <w:left w:type="dxa" w:w="160"/>
              <w:bottom w:type="dxa" w:w="100"/>
              <w:right w:type="dxa" w:w="160"/>
            </w:tcMar>
          </w:tcPr>
          <w:p>
            <w:r>
              <w:rPr>
                <w:rFonts w:ascii="Arial" w:cs="Arial" w:eastAsia="Arial" w:hAnsi="Arial"/>
                <w:color w:val="4A5568"/>
                <w:sz w:val="20"/>
                <w:szCs w:val="20"/>
              </w:rPr>
              <w:t xml:space="preserve">Kishore Kumar, Quantalabs Pvt Ltd</w:t>
            </w:r>
          </w:p>
        </w:tc>
      </w:tr>
    </w:tbl>
    <w:p>
      <w:r>
        <w:br w:type="page"/>
      </w:r>
    </w:p>
    <w:p>
      <w:pPr>
        <w:pStyle w:val="Heading1"/>
        <w:spacing w:after="120" w:before="400"/>
      </w:pPr>
      <w:r>
        <w:rPr>
          <w:rFonts w:ascii="Arial" w:cs="Arial" w:eastAsia="Arial" w:hAnsi="Arial"/>
          <w:b/>
          <w:bCs/>
          <w:color w:val="0A1628"/>
          <w:sz w:val="28"/>
          <w:szCs w:val="28"/>
        </w:rPr>
        <w:t xml:space="preserve">1. Executive Summary</w:t>
      </w:r>
    </w:p>
    <w:p>
      <w:pPr>
        <w:pBdr>
          <w:bottom w:val="single" w:color="1A6FE8" w:sz="6" w:space="4"/>
        </w:pBdr>
        <w:spacing w:after="160" w:before="320"/>
      </w:pPr>
    </w:p>
    <w:p>
      <w:pPr>
        <w:spacing w:after="80" w:before="80"/>
      </w:pPr>
      <w:r>
        <w:rPr>
          <w:rFonts w:ascii="Arial" w:cs="Arial" w:eastAsia="Arial" w:hAnsi="Arial"/>
          <w:color w:val="4A5568"/>
          <w:sz w:val="22"/>
          <w:szCs w:val="22"/>
        </w:rPr>
        <w:t xml:space="preserve">This Post-Quantum Cryptography (PQC) Readiness Assessment evaluates [CLIENT COMPANY NAME]'s current cryptographic posture against the threat of quantum computing. The assessment covers all major systems handling encrypted data, digital signatures, and secure communications.</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1DCF0" w:sz="1"/>
              <w:left w:val="single" w:color="D1DCF0" w:sz="1"/>
              <w:bottom w:val="single" w:color="D1DCF0" w:sz="1"/>
              <w:right w:val="single" w:color="D1DCF0" w:sz="1"/>
            </w:tcBorders>
            <w:shd w:fill="E8F0FC" w:val="clear"/>
            <w:tcMar>
              <w:top w:type="dxa" w:w="180"/>
              <w:left w:type="dxa" w:w="240"/>
              <w:bottom w:type="dxa" w:w="180"/>
              <w:right w:type="dxa" w:w="240"/>
            </w:tcMar>
          </w:tcPr>
          <w:p>
            <w:pPr>
              <w:spacing w:after="80" w:before="0"/>
            </w:pPr>
            <w:r>
              <w:rPr>
                <w:rFonts w:ascii="Arial" w:cs="Arial" w:eastAsia="Arial" w:hAnsi="Arial"/>
                <w:b/>
                <w:bCs/>
                <w:color w:val="0A1628"/>
                <w:sz w:val="20"/>
                <w:szCs w:val="20"/>
              </w:rPr>
              <w:t xml:space="preserve">OVERALL QUANTUM RISK RATING</w:t>
            </w:r>
          </w:p>
          <w:p>
            <w:pPr>
              <w:spacing w:after="80" w:before="0"/>
            </w:pPr>
            <w:r>
              <w:rPr>
                <w:rFonts w:ascii="Arial" w:cs="Arial" w:eastAsia="Arial" w:hAnsi="Arial"/>
                <w:b/>
                <w:bCs/>
                <w:color w:val="1A6FE8"/>
                <w:sz w:val="32"/>
                <w:szCs w:val="32"/>
              </w:rPr>
              <w:t xml:space="preserve">▶  HIGH / MEDIUM / LOW  ◀</w:t>
            </w:r>
          </w:p>
          <w:p>
            <w:pPr>
              <w:spacing w:after="0" w:before="0"/>
            </w:pPr>
            <w:r>
              <w:rPr>
                <w:rFonts w:ascii="Arial" w:cs="Arial" w:eastAsia="Arial" w:hAnsi="Arial"/>
                <w:i/>
                <w:iCs/>
                <w:color w:val="4A5568"/>
                <w:sz w:val="20"/>
                <w:szCs w:val="20"/>
              </w:rPr>
              <w:t xml:space="preserve">[One sentence summary of the organisation's key risk finding]</w:t>
            </w:r>
          </w:p>
        </w:tc>
      </w:tr>
    </w:tbl>
    <w:p>
      <w:pPr>
        <w:spacing w:after="0" w:before="200"/>
      </w:pPr>
    </w:p>
    <w:p>
      <w:pPr>
        <w:pStyle w:val="Heading2"/>
        <w:spacing w:after="100" w:before="280"/>
      </w:pPr>
      <w:r>
        <w:rPr>
          <w:rFonts w:ascii="Arial" w:cs="Arial" w:eastAsia="Arial" w:hAnsi="Arial"/>
          <w:b/>
          <w:bCs/>
          <w:color w:val="1A6FE8"/>
          <w:sz w:val="22"/>
          <w:szCs w:val="22"/>
        </w:rPr>
        <w:t xml:space="preserve">Key Findings</w:t>
      </w:r>
    </w:p>
    <w:p>
      <w:pPr>
        <w:pStyle w:val="ListParagraph"/>
        <w:numPr>
          <w:ilvl w:val="0"/>
          <w:numId w:val="2"/>
        </w:numPr>
        <w:spacing w:after="60" w:before="60"/>
      </w:pPr>
      <w:r>
        <w:rPr>
          <w:rFonts w:ascii="Arial" w:cs="Arial" w:eastAsia="Arial" w:hAnsi="Arial"/>
          <w:color w:val="4A5568"/>
          <w:sz w:val="22"/>
          <w:szCs w:val="22"/>
        </w:rPr>
        <w:t xml:space="preserve">[Finding 1 — e.g., All API communications rely on RSA-2048, which is quantum-vulnerable]</w:t>
      </w:r>
    </w:p>
    <w:p>
      <w:pPr>
        <w:pStyle w:val="ListParagraph"/>
        <w:numPr>
          <w:ilvl w:val="0"/>
          <w:numId w:val="2"/>
        </w:numPr>
        <w:spacing w:after="60" w:before="60"/>
      </w:pPr>
      <w:r>
        <w:rPr>
          <w:rFonts w:ascii="Arial" w:cs="Arial" w:eastAsia="Arial" w:hAnsi="Arial"/>
          <w:color w:val="4A5568"/>
          <w:sz w:val="22"/>
          <w:szCs w:val="22"/>
        </w:rPr>
        <w:t xml:space="preserve">[Finding 2 — e.g., JWT tokens use ECDSA P-256, offering no post-quantum protection]</w:t>
      </w:r>
    </w:p>
    <w:p>
      <w:pPr>
        <w:pStyle w:val="ListParagraph"/>
        <w:numPr>
          <w:ilvl w:val="0"/>
          <w:numId w:val="2"/>
        </w:numPr>
        <w:spacing w:after="60" w:before="60"/>
      </w:pPr>
      <w:r>
        <w:rPr>
          <w:rFonts w:ascii="Arial" w:cs="Arial" w:eastAsia="Arial" w:hAnsi="Arial"/>
          <w:color w:val="4A5568"/>
          <w:sz w:val="22"/>
          <w:szCs w:val="22"/>
        </w:rPr>
        <w:t xml:space="preserve">[Finding 3 — e.g., Customer data stored with AES-256 — safe; key exchange is the weak point]</w:t>
      </w:r>
    </w:p>
    <w:p>
      <w:pPr>
        <w:pStyle w:val="ListParagraph"/>
        <w:numPr>
          <w:ilvl w:val="0"/>
          <w:numId w:val="2"/>
        </w:numPr>
        <w:spacing w:after="60" w:before="60"/>
      </w:pPr>
      <w:r>
        <w:rPr>
          <w:rFonts w:ascii="Arial" w:cs="Arial" w:eastAsia="Arial" w:hAnsi="Arial"/>
          <w:color w:val="4A5568"/>
          <w:sz w:val="22"/>
          <w:szCs w:val="22"/>
        </w:rPr>
        <w:t xml:space="preserve">[Finding 4 — e.g., No cryptographic inventory or migration plan currently exists]</w:t>
      </w:r>
    </w:p>
    <w:p>
      <w:pPr>
        <w:spacing w:after="0" w:before="100"/>
      </w:pPr>
    </w:p>
    <w:p>
      <w:pPr>
        <w:pStyle w:val="Heading2"/>
        <w:spacing w:after="100" w:before="280"/>
      </w:pPr>
      <w:r>
        <w:rPr>
          <w:rFonts w:ascii="Arial" w:cs="Arial" w:eastAsia="Arial" w:hAnsi="Arial"/>
          <w:b/>
          <w:bCs/>
          <w:color w:val="1A6FE8"/>
          <w:sz w:val="22"/>
          <w:szCs w:val="22"/>
        </w:rPr>
        <w:t xml:space="preserve">Immediate Recommendations</w:t>
      </w:r>
    </w:p>
    <w:p>
      <w:pPr>
        <w:pStyle w:val="ListParagraph"/>
        <w:numPr>
          <w:ilvl w:val="0"/>
          <w:numId w:val="2"/>
        </w:numPr>
        <w:spacing w:after="60" w:before="60"/>
      </w:pPr>
      <w:r>
        <w:rPr>
          <w:rFonts w:ascii="Arial" w:cs="Arial" w:eastAsia="Arial" w:hAnsi="Arial"/>
          <w:color w:val="4A5568"/>
          <w:sz w:val="22"/>
          <w:szCs w:val="22"/>
        </w:rPr>
        <w:t xml:space="preserve">[Rec 1 — e.g., Conduct full cryptographic inventory across all production services]</w:t>
      </w:r>
    </w:p>
    <w:p>
      <w:pPr>
        <w:pStyle w:val="ListParagraph"/>
        <w:numPr>
          <w:ilvl w:val="0"/>
          <w:numId w:val="2"/>
        </w:numPr>
        <w:spacing w:after="60" w:before="60"/>
      </w:pPr>
      <w:r>
        <w:rPr>
          <w:rFonts w:ascii="Arial" w:cs="Arial" w:eastAsia="Arial" w:hAnsi="Arial"/>
          <w:color w:val="4A5568"/>
          <w:sz w:val="22"/>
          <w:szCs w:val="22"/>
        </w:rPr>
        <w:t xml:space="preserve">[Rec 2 — e.g., Replace RSA-2048 key exchange with NIST-approved Kyber-768 (ML-KEM)]</w:t>
      </w:r>
    </w:p>
    <w:p>
      <w:pPr>
        <w:pStyle w:val="ListParagraph"/>
        <w:numPr>
          <w:ilvl w:val="0"/>
          <w:numId w:val="2"/>
        </w:numPr>
        <w:spacing w:after="60" w:before="60"/>
      </w:pPr>
      <w:r>
        <w:rPr>
          <w:rFonts w:ascii="Arial" w:cs="Arial" w:eastAsia="Arial" w:hAnsi="Arial"/>
          <w:color w:val="4A5568"/>
          <w:sz w:val="22"/>
          <w:szCs w:val="22"/>
        </w:rPr>
        <w:t xml:space="preserve">[Rec 3 — e.g., Begin pilot migration of non-critical APIs to Falcon-512 signatures]</w:t>
      </w:r>
    </w:p>
    <w:p>
      <w:r>
        <w:br w:type="page"/>
      </w:r>
    </w:p>
    <w:p>
      <w:pPr>
        <w:pStyle w:val="Heading1"/>
        <w:spacing w:after="120" w:before="400"/>
      </w:pPr>
      <w:r>
        <w:rPr>
          <w:rFonts w:ascii="Arial" w:cs="Arial" w:eastAsia="Arial" w:hAnsi="Arial"/>
          <w:b/>
          <w:bCs/>
          <w:color w:val="0A1628"/>
          <w:sz w:val="28"/>
          <w:szCs w:val="28"/>
        </w:rPr>
        <w:t xml:space="preserve">2. The Quantum Threat — Why This Matters Now</w:t>
      </w:r>
    </w:p>
    <w:p>
      <w:pPr>
        <w:pBdr>
          <w:bottom w:val="single" w:color="1A6FE8" w:sz="6" w:space="4"/>
        </w:pBdr>
        <w:spacing w:after="160" w:before="320"/>
      </w:pPr>
    </w:p>
    <w:p>
      <w:pPr>
        <w:spacing w:after="80" w:before="80"/>
      </w:pPr>
      <w:r>
        <w:rPr>
          <w:rFonts w:ascii="Arial" w:cs="Arial" w:eastAsia="Arial" w:hAnsi="Arial"/>
          <w:color w:val="4A5568"/>
          <w:sz w:val="22"/>
          <w:szCs w:val="22"/>
        </w:rPr>
        <w:t xml:space="preserve">In August 2024, NIST finalized the world's first Post-Quantum Cryptography standards (FIPS 203, 204, 205). This marks the official beginning of the transition away from classical public-key cryptography — RSA, ECDSA, Diffie-Hellman — which underpins virtually all modern digital security.</w:t>
      </w:r>
    </w:p>
    <w:p>
      <w:pPr>
        <w:spacing w:after="0" w:before="100"/>
      </w:pPr>
    </w:p>
    <w:p>
      <w:pPr>
        <w:pStyle w:val="Heading2"/>
        <w:spacing w:after="100" w:before="280"/>
      </w:pPr>
      <w:r>
        <w:rPr>
          <w:rFonts w:ascii="Arial" w:cs="Arial" w:eastAsia="Arial" w:hAnsi="Arial"/>
          <w:b/>
          <w:bCs/>
          <w:color w:val="1A6FE8"/>
          <w:sz w:val="22"/>
          <w:szCs w:val="22"/>
        </w:rPr>
        <w:t xml:space="preserve">Harvest Now, Decrypt Later (HNDL)</w:t>
      </w:r>
    </w:p>
    <w:p>
      <w:pPr>
        <w:spacing w:after="80" w:before="80"/>
      </w:pPr>
      <w:r>
        <w:rPr>
          <w:rFonts w:ascii="Arial" w:cs="Arial" w:eastAsia="Arial" w:hAnsi="Arial"/>
          <w:color w:val="4A5568"/>
          <w:sz w:val="22"/>
          <w:szCs w:val="22"/>
        </w:rPr>
        <w:t xml:space="preserve">Nation-state actors and advanced threat groups are already executing HNDL attacks — intercepting and archiving encrypted network traffic today, with the intent to decrypt it once sufficiently powerful quantum computers become available. This is not theoretical:</w:t>
      </w:r>
    </w:p>
    <w:p>
      <w:pPr>
        <w:spacing w:after="0" w:before="80"/>
      </w:pPr>
    </w:p>
    <w:p>
      <w:pPr>
        <w:pStyle w:val="ListParagraph"/>
        <w:numPr>
          <w:ilvl w:val="0"/>
          <w:numId w:val="2"/>
        </w:numPr>
        <w:spacing w:after="60" w:before="60"/>
      </w:pPr>
      <w:r>
        <w:rPr>
          <w:rFonts w:ascii="Arial" w:cs="Arial" w:eastAsia="Arial" w:hAnsi="Arial"/>
          <w:color w:val="4A5568"/>
          <w:sz w:val="22"/>
          <w:szCs w:val="22"/>
        </w:rPr>
        <w:t xml:space="preserve">Any data encrypted today with RSA or ECDSA that must remain confidential for 7+ years is already at risk</w:t>
      </w:r>
    </w:p>
    <w:p>
      <w:pPr>
        <w:pStyle w:val="ListParagraph"/>
        <w:numPr>
          <w:ilvl w:val="0"/>
          <w:numId w:val="2"/>
        </w:numPr>
        <w:spacing w:after="60" w:before="60"/>
      </w:pPr>
      <w:r>
        <w:rPr>
          <w:rFonts w:ascii="Arial" w:cs="Arial" w:eastAsia="Arial" w:hAnsi="Arial"/>
          <w:color w:val="4A5568"/>
          <w:sz w:val="22"/>
          <w:szCs w:val="22"/>
        </w:rPr>
        <w:t xml:space="preserve">Financial records, medical data, legal documents, and customer PII are primary targets</w:t>
      </w:r>
    </w:p>
    <w:p>
      <w:pPr>
        <w:pStyle w:val="ListParagraph"/>
        <w:numPr>
          <w:ilvl w:val="0"/>
          <w:numId w:val="2"/>
        </w:numPr>
        <w:spacing w:after="60" w:before="60"/>
      </w:pPr>
      <w:r>
        <w:rPr>
          <w:rFonts w:ascii="Arial" w:cs="Arial" w:eastAsia="Arial" w:hAnsi="Arial"/>
          <w:color w:val="4A5568"/>
          <w:sz w:val="22"/>
          <w:szCs w:val="22"/>
        </w:rPr>
        <w:t xml:space="preserve">The threat window is estimated at 5–15 years, but migration timelines for large organisations average 3–7 years</w:t>
      </w:r>
    </w:p>
    <w:p>
      <w:pPr>
        <w:spacing w:after="0" w:before="100"/>
      </w:pPr>
    </w:p>
    <w:p>
      <w:pPr>
        <w:pStyle w:val="Heading2"/>
        <w:spacing w:after="100" w:before="280"/>
      </w:pPr>
      <w:r>
        <w:rPr>
          <w:rFonts w:ascii="Arial" w:cs="Arial" w:eastAsia="Arial" w:hAnsi="Arial"/>
          <w:b/>
          <w:bCs/>
          <w:color w:val="1A6FE8"/>
          <w:sz w:val="22"/>
          <w:szCs w:val="22"/>
        </w:rPr>
        <w:t xml:space="preserve">Regulatory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rPr>
          <w:tblHeader/>
        </w:trPr>
        <w:tc>
          <w:tcPr>
            <w:tcW w:type="dxa" w:w="22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Year</w:t>
            </w:r>
          </w:p>
        </w:tc>
        <w:tc>
          <w:tcPr>
            <w:tcW w:type="dxa" w:w="32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Event</w:t>
            </w:r>
          </w:p>
        </w:tc>
        <w:tc>
          <w:tcPr>
            <w:tcW w:type="dxa" w:w="396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Implication</w:t>
            </w:r>
          </w:p>
        </w:tc>
      </w:tr>
      <w:tr>
        <w:tc>
          <w:tcPr>
            <w:tcW w:type="dxa" w:w="22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Aug 2024</w:t>
            </w:r>
          </w:p>
        </w:tc>
        <w:tc>
          <w:tcPr>
            <w:tcW w:type="dxa" w:w="32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NIST PQC Standards Finalised</w:t>
            </w:r>
          </w:p>
        </w:tc>
        <w:tc>
          <w:tcPr>
            <w:tcW w:type="dxa" w:w="39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Official transition begins globally</w:t>
            </w:r>
          </w:p>
        </w:tc>
      </w:tr>
      <w:tr>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b/>
                <w:bCs/>
                <w:color w:val="0A1628"/>
                <w:sz w:val="20"/>
                <w:szCs w:val="20"/>
              </w:rPr>
              <w:t xml:space="preserve">2025–2026</w:t>
            </w:r>
          </w:p>
        </w:tc>
        <w:tc>
          <w:tcPr>
            <w:tcW w:type="dxa" w:w="3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RBI / SEBI cybersecurity framework updates expected</w:t>
            </w:r>
          </w:p>
        </w:tc>
        <w:tc>
          <w:tcPr>
            <w:tcW w:type="dxa" w:w="396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Indian regulated entities must begin readiness planning</w:t>
            </w:r>
          </w:p>
        </w:tc>
      </w:tr>
      <w:tr>
        <w:tc>
          <w:tcPr>
            <w:tcW w:type="dxa" w:w="22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2027</w:t>
            </w:r>
          </w:p>
        </w:tc>
        <w:tc>
          <w:tcPr>
            <w:tcW w:type="dxa" w:w="32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US Federal agencies must deprecate RSA/ECC</w:t>
            </w:r>
          </w:p>
        </w:tc>
        <w:tc>
          <w:tcPr>
            <w:tcW w:type="dxa" w:w="39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Global trading partners and regulators will follow</w:t>
            </w:r>
          </w:p>
        </w:tc>
      </w:tr>
      <w:tr>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b/>
                <w:bCs/>
                <w:color w:val="0A1628"/>
                <w:sz w:val="20"/>
                <w:szCs w:val="20"/>
              </w:rPr>
              <w:t xml:space="preserve">2030–2035</w:t>
            </w:r>
          </w:p>
        </w:tc>
        <w:tc>
          <w:tcPr>
            <w:tcW w:type="dxa" w:w="3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Cryptographically relevant quantum computers possible</w:t>
            </w:r>
          </w:p>
        </w:tc>
        <w:tc>
          <w:tcPr>
            <w:tcW w:type="dxa" w:w="396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Classical public-key cryptography broken</w:t>
            </w:r>
          </w:p>
        </w:tc>
      </w:tr>
    </w:tbl>
    <w:p>
      <w:r>
        <w:br w:type="page"/>
      </w:r>
    </w:p>
    <w:p>
      <w:pPr>
        <w:pStyle w:val="Heading1"/>
        <w:spacing w:after="120" w:before="400"/>
      </w:pPr>
      <w:r>
        <w:rPr>
          <w:rFonts w:ascii="Arial" w:cs="Arial" w:eastAsia="Arial" w:hAnsi="Arial"/>
          <w:b/>
          <w:bCs/>
          <w:color w:val="0A1628"/>
          <w:sz w:val="28"/>
          <w:szCs w:val="28"/>
        </w:rPr>
        <w:t xml:space="preserve">3. Systems Cryptographic Assessment</w:t>
      </w:r>
    </w:p>
    <w:p>
      <w:pPr>
        <w:pBdr>
          <w:bottom w:val="single" w:color="1A6FE8" w:sz="6" w:space="4"/>
        </w:pBdr>
        <w:spacing w:after="160" w:before="320"/>
      </w:pPr>
    </w:p>
    <w:p>
      <w:pPr>
        <w:spacing w:after="80" w:before="80"/>
      </w:pPr>
      <w:r>
        <w:rPr>
          <w:rFonts w:ascii="Arial" w:cs="Arial" w:eastAsia="Arial" w:hAnsi="Arial"/>
          <w:color w:val="4A5568"/>
          <w:sz w:val="22"/>
          <w:szCs w:val="22"/>
        </w:rPr>
        <w:t xml:space="preserve">The following systems were reviewed as part of this assessment. Each is evaluated for current cryptographic implementation, quantum exposure level, and migration urgency.</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1600"/>
        <w:gridCol w:w="2760"/>
      </w:tblGrid>
      <w:tr>
        <w:trPr>
          <w:tblHeader/>
        </w:trPr>
        <w:tc>
          <w:tcPr>
            <w:tcW w:type="dxa" w:w="28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System / Component</w:t>
            </w:r>
          </w:p>
        </w:tc>
        <w:tc>
          <w:tcPr>
            <w:tcW w:type="dxa" w:w="22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Current Algorithm</w:t>
            </w:r>
          </w:p>
        </w:tc>
        <w:tc>
          <w:tcPr>
            <w:tcW w:type="dxa" w:w="16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Risk Level</w:t>
            </w:r>
          </w:p>
        </w:tc>
        <w:tc>
          <w:tcPr>
            <w:tcW w:type="dxa" w:w="276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Notes</w:t>
            </w:r>
          </w:p>
        </w:tc>
      </w:tr>
      <w:tr>
        <w:tc>
          <w:tcPr>
            <w:tcW w:type="dxa" w:w="28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API / TLS Layer</w:t>
            </w:r>
          </w:p>
        </w:tc>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RSA-2048 / TLS 1.2</w:t>
            </w:r>
          </w:p>
        </w:tc>
        <w:tc>
          <w:tcPr>
            <w:tcW w:type="dxa" w:w="1600"/>
            <w:tcBorders>
              <w:top w:val="single" w:color="D1DCF0" w:sz="1"/>
              <w:left w:val="single" w:color="D1DCF0" w:sz="1"/>
              <w:bottom w:val="single" w:color="D1DCF0" w:sz="1"/>
              <w:right w:val="single" w:color="D1DCF0" w:sz="1"/>
            </w:tcBorders>
            <w:shd w:fill="FDECEA" w:val="clear"/>
            <w:tcMar>
              <w:top w:type="dxa" w:w="100"/>
              <w:left w:type="dxa" w:w="160"/>
              <w:bottom w:type="dxa" w:w="100"/>
              <w:right w:type="dxa" w:w="160"/>
            </w:tcMar>
            <w:vAlign w:val="center"/>
          </w:tcPr>
          <w:p>
            <w:pPr>
              <w:jc w:val="center"/>
            </w:pPr>
            <w:r>
              <w:rPr>
                <w:rFonts w:ascii="Arial" w:cs="Arial" w:eastAsia="Arial" w:hAnsi="Arial"/>
                <w:b/>
                <w:bCs/>
                <w:color w:val="C0392B"/>
                <w:sz w:val="20"/>
                <w:szCs w:val="20"/>
              </w:rPr>
              <w:t xml:space="preserve">HIGH</w:t>
            </w:r>
          </w:p>
        </w:tc>
        <w:tc>
          <w:tcPr>
            <w:tcW w:type="dxa" w:w="27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18"/>
                <w:szCs w:val="18"/>
              </w:rPr>
              <w:t xml:space="preserve">Key exchange fully quantum-vulnerable</w:t>
            </w:r>
          </w:p>
        </w:tc>
      </w:tr>
      <w:tr>
        <w:tc>
          <w:tcPr>
            <w:tcW w:type="dxa" w:w="28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User Authentication (JWT)</w:t>
            </w:r>
          </w:p>
        </w:tc>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ECDSA P-256</w:t>
            </w:r>
          </w:p>
        </w:tc>
        <w:tc>
          <w:tcPr>
            <w:tcW w:type="dxa" w:w="1600"/>
            <w:tcBorders>
              <w:top w:val="single" w:color="D1DCF0" w:sz="1"/>
              <w:left w:val="single" w:color="D1DCF0" w:sz="1"/>
              <w:bottom w:val="single" w:color="D1DCF0" w:sz="1"/>
              <w:right w:val="single" w:color="D1DCF0" w:sz="1"/>
            </w:tcBorders>
            <w:shd w:fill="FDECEA" w:val="clear"/>
            <w:tcMar>
              <w:top w:type="dxa" w:w="100"/>
              <w:left w:type="dxa" w:w="160"/>
              <w:bottom w:type="dxa" w:w="100"/>
              <w:right w:type="dxa" w:w="160"/>
            </w:tcMar>
            <w:vAlign w:val="center"/>
          </w:tcPr>
          <w:p>
            <w:pPr>
              <w:jc w:val="center"/>
            </w:pPr>
            <w:r>
              <w:rPr>
                <w:rFonts w:ascii="Arial" w:cs="Arial" w:eastAsia="Arial" w:hAnsi="Arial"/>
                <w:b/>
                <w:bCs/>
                <w:color w:val="C0392B"/>
                <w:sz w:val="20"/>
                <w:szCs w:val="20"/>
              </w:rPr>
              <w:t xml:space="preserve">HIGH</w:t>
            </w:r>
          </w:p>
        </w:tc>
        <w:tc>
          <w:tcPr>
            <w:tcW w:type="dxa" w:w="27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18"/>
                <w:szCs w:val="18"/>
              </w:rPr>
              <w:t xml:space="preserve">Signatures breakable by Shor's algorithm</w:t>
            </w:r>
          </w:p>
        </w:tc>
      </w:tr>
      <w:tr>
        <w:tc>
          <w:tcPr>
            <w:tcW w:type="dxa" w:w="28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Data at Rest (AES-256)</w:t>
            </w:r>
          </w:p>
        </w:tc>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AES-256-GCM</w:t>
            </w:r>
          </w:p>
        </w:tc>
        <w:tc>
          <w:tcPr>
            <w:tcW w:type="dxa" w:w="1600"/>
            <w:tcBorders>
              <w:top w:val="single" w:color="D1DCF0" w:sz="1"/>
              <w:left w:val="single" w:color="D1DCF0" w:sz="1"/>
              <w:bottom w:val="single" w:color="D1DCF0" w:sz="1"/>
              <w:right w:val="single" w:color="D1DCF0" w:sz="1"/>
            </w:tcBorders>
            <w:shd w:fill="E9F7EF" w:val="clear"/>
            <w:tcMar>
              <w:top w:type="dxa" w:w="100"/>
              <w:left w:type="dxa" w:w="160"/>
              <w:bottom w:type="dxa" w:w="100"/>
              <w:right w:type="dxa" w:w="160"/>
            </w:tcMar>
            <w:vAlign w:val="center"/>
          </w:tcPr>
          <w:p>
            <w:pPr>
              <w:jc w:val="center"/>
            </w:pPr>
            <w:r>
              <w:rPr>
                <w:rFonts w:ascii="Arial" w:cs="Arial" w:eastAsia="Arial" w:hAnsi="Arial"/>
                <w:b/>
                <w:bCs/>
                <w:color w:val="27AE60"/>
                <w:sz w:val="20"/>
                <w:szCs w:val="20"/>
              </w:rPr>
              <w:t xml:space="preserve">LOW</w:t>
            </w:r>
          </w:p>
        </w:tc>
        <w:tc>
          <w:tcPr>
            <w:tcW w:type="dxa" w:w="27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18"/>
                <w:szCs w:val="18"/>
              </w:rPr>
              <w:t xml:space="preserve">Symmetric — quantum-resistant with Grover's</w:t>
            </w:r>
          </w:p>
        </w:tc>
      </w:tr>
      <w:tr>
        <w:tc>
          <w:tcPr>
            <w:tcW w:type="dxa" w:w="28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Certificate Infrastructure</w:t>
            </w:r>
          </w:p>
        </w:tc>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RSA-2048 CA certs</w:t>
            </w:r>
          </w:p>
        </w:tc>
        <w:tc>
          <w:tcPr>
            <w:tcW w:type="dxa" w:w="1600"/>
            <w:tcBorders>
              <w:top w:val="single" w:color="D1DCF0" w:sz="1"/>
              <w:left w:val="single" w:color="D1DCF0" w:sz="1"/>
              <w:bottom w:val="single" w:color="D1DCF0" w:sz="1"/>
              <w:right w:val="single" w:color="D1DCF0" w:sz="1"/>
            </w:tcBorders>
            <w:shd w:fill="FDECEA" w:val="clear"/>
            <w:tcMar>
              <w:top w:type="dxa" w:w="100"/>
              <w:left w:type="dxa" w:w="160"/>
              <w:bottom w:type="dxa" w:w="100"/>
              <w:right w:type="dxa" w:w="160"/>
            </w:tcMar>
            <w:vAlign w:val="center"/>
          </w:tcPr>
          <w:p>
            <w:pPr>
              <w:jc w:val="center"/>
            </w:pPr>
            <w:r>
              <w:rPr>
                <w:rFonts w:ascii="Arial" w:cs="Arial" w:eastAsia="Arial" w:hAnsi="Arial"/>
                <w:b/>
                <w:bCs/>
                <w:color w:val="C0392B"/>
                <w:sz w:val="20"/>
                <w:szCs w:val="20"/>
              </w:rPr>
              <w:t xml:space="preserve">HIGH</w:t>
            </w:r>
          </w:p>
        </w:tc>
        <w:tc>
          <w:tcPr>
            <w:tcW w:type="dxa" w:w="27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18"/>
                <w:szCs w:val="18"/>
              </w:rPr>
              <w:t xml:space="preserve">Entire PKI chain needs replacement</w:t>
            </w:r>
          </w:p>
        </w:tc>
      </w:tr>
      <w:tr>
        <w:tc>
          <w:tcPr>
            <w:tcW w:type="dxa" w:w="28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Internal Service Mesh</w:t>
            </w:r>
          </w:p>
        </w:tc>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[To be identified]</w:t>
            </w:r>
          </w:p>
        </w:tc>
        <w:tc>
          <w:tcPr>
            <w:tcW w:type="dxa" w:w="1600"/>
            <w:tcBorders>
              <w:top w:val="single" w:color="D1DCF0" w:sz="1"/>
              <w:left w:val="single" w:color="D1DCF0" w:sz="1"/>
              <w:bottom w:val="single" w:color="D1DCF0" w:sz="1"/>
              <w:right w:val="single" w:color="D1DCF0" w:sz="1"/>
            </w:tcBorders>
            <w:shd w:fill="FDF3E7" w:val="clear"/>
            <w:tcMar>
              <w:top w:type="dxa" w:w="100"/>
              <w:left w:type="dxa" w:w="160"/>
              <w:bottom w:type="dxa" w:w="100"/>
              <w:right w:type="dxa" w:w="160"/>
            </w:tcMar>
            <w:vAlign w:val="center"/>
          </w:tcPr>
          <w:p>
            <w:pPr>
              <w:jc w:val="center"/>
            </w:pPr>
            <w:r>
              <w:rPr>
                <w:rFonts w:ascii="Arial" w:cs="Arial" w:eastAsia="Arial" w:hAnsi="Arial"/>
                <w:b/>
                <w:bCs/>
                <w:color w:val="E67E22"/>
                <w:sz w:val="20"/>
                <w:szCs w:val="20"/>
              </w:rPr>
              <w:t xml:space="preserve">MEDIUM</w:t>
            </w:r>
          </w:p>
        </w:tc>
        <w:tc>
          <w:tcPr>
            <w:tcW w:type="dxa" w:w="27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18"/>
                <w:szCs w:val="18"/>
              </w:rPr>
              <w:t xml:space="preserve">Requires internal audit</w:t>
            </w:r>
          </w:p>
        </w:tc>
      </w:tr>
      <w:tr>
        <w:tc>
          <w:tcPr>
            <w:tcW w:type="dxa" w:w="28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Mobile / Client Apps</w:t>
            </w:r>
          </w:p>
        </w:tc>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[To be identified]</w:t>
            </w:r>
          </w:p>
        </w:tc>
        <w:tc>
          <w:tcPr>
            <w:tcW w:type="dxa" w:w="1600"/>
            <w:tcBorders>
              <w:top w:val="single" w:color="D1DCF0" w:sz="1"/>
              <w:left w:val="single" w:color="D1DCF0" w:sz="1"/>
              <w:bottom w:val="single" w:color="D1DCF0" w:sz="1"/>
              <w:right w:val="single" w:color="D1DCF0" w:sz="1"/>
            </w:tcBorders>
            <w:shd w:fill="FDF3E7" w:val="clear"/>
            <w:tcMar>
              <w:top w:type="dxa" w:w="100"/>
              <w:left w:type="dxa" w:w="160"/>
              <w:bottom w:type="dxa" w:w="100"/>
              <w:right w:type="dxa" w:w="160"/>
            </w:tcMar>
            <w:vAlign w:val="center"/>
          </w:tcPr>
          <w:p>
            <w:pPr>
              <w:jc w:val="center"/>
            </w:pPr>
            <w:r>
              <w:rPr>
                <w:rFonts w:ascii="Arial" w:cs="Arial" w:eastAsia="Arial" w:hAnsi="Arial"/>
                <w:b/>
                <w:bCs/>
                <w:color w:val="E67E22"/>
                <w:sz w:val="20"/>
                <w:szCs w:val="20"/>
              </w:rPr>
              <w:t xml:space="preserve">MEDIUM</w:t>
            </w:r>
          </w:p>
        </w:tc>
        <w:tc>
          <w:tcPr>
            <w:tcW w:type="dxa" w:w="27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18"/>
                <w:szCs w:val="18"/>
              </w:rPr>
              <w:t xml:space="preserve">Depends on SDK crypto libraries</w:t>
            </w:r>
          </w:p>
        </w:tc>
      </w:tr>
      <w:tr>
        <w:tc>
          <w:tcPr>
            <w:tcW w:type="dxa" w:w="28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Database Encryption Keys</w:t>
            </w:r>
          </w:p>
        </w:tc>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[To be identified]</w:t>
            </w:r>
          </w:p>
        </w:tc>
        <w:tc>
          <w:tcPr>
            <w:tcW w:type="dxa" w:w="1600"/>
            <w:tcBorders>
              <w:top w:val="single" w:color="D1DCF0" w:sz="1"/>
              <w:left w:val="single" w:color="D1DCF0" w:sz="1"/>
              <w:bottom w:val="single" w:color="D1DCF0" w:sz="1"/>
              <w:right w:val="single" w:color="D1DCF0" w:sz="1"/>
            </w:tcBorders>
            <w:shd w:fill="FDF3E7" w:val="clear"/>
            <w:tcMar>
              <w:top w:type="dxa" w:w="100"/>
              <w:left w:type="dxa" w:w="160"/>
              <w:bottom w:type="dxa" w:w="100"/>
              <w:right w:type="dxa" w:w="160"/>
            </w:tcMar>
            <w:vAlign w:val="center"/>
          </w:tcPr>
          <w:p>
            <w:pPr>
              <w:jc w:val="center"/>
            </w:pPr>
            <w:r>
              <w:rPr>
                <w:rFonts w:ascii="Arial" w:cs="Arial" w:eastAsia="Arial" w:hAnsi="Arial"/>
                <w:b/>
                <w:bCs/>
                <w:color w:val="E67E22"/>
                <w:sz w:val="20"/>
                <w:szCs w:val="20"/>
              </w:rPr>
              <w:t xml:space="preserve">MEDIUM</w:t>
            </w:r>
          </w:p>
        </w:tc>
        <w:tc>
          <w:tcPr>
            <w:tcW w:type="dxa" w:w="27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18"/>
                <w:szCs w:val="18"/>
              </w:rPr>
              <w:t xml:space="preserve">Key wrapping mechanism unclear</w:t>
            </w:r>
          </w:p>
        </w:tc>
      </w:tr>
      <w:tr>
        <w:tc>
          <w:tcPr>
            <w:tcW w:type="dxa" w:w="28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Backup / Archive Systems</w:t>
            </w:r>
          </w:p>
        </w:tc>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[To be identified]</w:t>
            </w:r>
          </w:p>
        </w:tc>
        <w:tc>
          <w:tcPr>
            <w:tcW w:type="dxa" w:w="1600"/>
            <w:tcBorders>
              <w:top w:val="single" w:color="D1DCF0" w:sz="1"/>
              <w:left w:val="single" w:color="D1DCF0" w:sz="1"/>
              <w:bottom w:val="single" w:color="D1DCF0" w:sz="1"/>
              <w:right w:val="single" w:color="D1DCF0" w:sz="1"/>
            </w:tcBorders>
            <w:shd w:fill="FDECEA" w:val="clear"/>
            <w:tcMar>
              <w:top w:type="dxa" w:w="100"/>
              <w:left w:type="dxa" w:w="160"/>
              <w:bottom w:type="dxa" w:w="100"/>
              <w:right w:type="dxa" w:w="160"/>
            </w:tcMar>
            <w:vAlign w:val="center"/>
          </w:tcPr>
          <w:p>
            <w:pPr>
              <w:jc w:val="center"/>
            </w:pPr>
            <w:r>
              <w:rPr>
                <w:rFonts w:ascii="Arial" w:cs="Arial" w:eastAsia="Arial" w:hAnsi="Arial"/>
                <w:b/>
                <w:bCs/>
                <w:color w:val="C0392B"/>
                <w:sz w:val="20"/>
                <w:szCs w:val="20"/>
              </w:rPr>
              <w:t xml:space="preserve">HIGH</w:t>
            </w:r>
          </w:p>
        </w:tc>
        <w:tc>
          <w:tcPr>
            <w:tcW w:type="dxa" w:w="27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18"/>
                <w:szCs w:val="18"/>
              </w:rPr>
              <w:t xml:space="preserve">Long-retention data is HNDL target</w:t>
            </w:r>
          </w:p>
        </w:tc>
      </w:tr>
    </w:tbl>
    <w:p>
      <w:pPr>
        <w:spacing w:after="0" w:before="200"/>
      </w:pPr>
    </w:p>
    <w:p>
      <w:pPr>
        <w:spacing w:after="80" w:before="80"/>
      </w:pPr>
      <w:r>
        <w:rPr>
          <w:rFonts w:ascii="Arial" w:cs="Arial" w:eastAsia="Arial" w:hAnsi="Arial"/>
          <w:i/>
          <w:iCs/>
          <w:color w:val="4A5568"/>
          <w:sz w:val="22"/>
          <w:szCs w:val="22"/>
        </w:rPr>
        <w:t xml:space="preserve">▲ Items marked [To be identified] require access to internal infrastructure documentation or codebase review during Phase 2 of the engagement.</w:t>
      </w:r>
    </w:p>
    <w:p>
      <w:r>
        <w:br w:type="page"/>
      </w:r>
    </w:p>
    <w:p>
      <w:pPr>
        <w:pStyle w:val="Heading1"/>
        <w:spacing w:after="120" w:before="400"/>
      </w:pPr>
      <w:r>
        <w:rPr>
          <w:rFonts w:ascii="Arial" w:cs="Arial" w:eastAsia="Arial" w:hAnsi="Arial"/>
          <w:b/>
          <w:bCs/>
          <w:color w:val="0A1628"/>
          <w:sz w:val="28"/>
          <w:szCs w:val="28"/>
        </w:rPr>
        <w:t xml:space="preserve">4. Risk Scoring Methodology</w:t>
      </w:r>
    </w:p>
    <w:p>
      <w:pPr>
        <w:pBdr>
          <w:bottom w:val="single" w:color="1A6FE8" w:sz="6" w:space="4"/>
        </w:pBdr>
        <w:spacing w:after="160" w:before="320"/>
      </w:pPr>
    </w:p>
    <w:p>
      <w:pPr>
        <w:spacing w:after="80" w:before="80"/>
      </w:pPr>
      <w:r>
        <w:rPr>
          <w:rFonts w:ascii="Arial" w:cs="Arial" w:eastAsia="Arial" w:hAnsi="Arial"/>
          <w:color w:val="4A5568"/>
          <w:sz w:val="22"/>
          <w:szCs w:val="22"/>
        </w:rPr>
        <w:t xml:space="preserve">Each component is scored across three dimensions. The combined score determines the overall risk rating and migration priority.</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960"/>
        <w:gridCol w:w="2200"/>
        <w:gridCol w:w="800"/>
      </w:tblGrid>
      <w:tr>
        <w:trPr>
          <w:tblHeader/>
        </w:trPr>
        <w:tc>
          <w:tcPr>
            <w:tcW w:type="dxa" w:w="24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Dimension</w:t>
            </w:r>
          </w:p>
        </w:tc>
        <w:tc>
          <w:tcPr>
            <w:tcW w:type="dxa" w:w="396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Definition</w:t>
            </w:r>
          </w:p>
        </w:tc>
        <w:tc>
          <w:tcPr>
            <w:tcW w:type="dxa" w:w="22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Example</w:t>
            </w:r>
          </w:p>
        </w:tc>
        <w:tc>
          <w:tcPr>
            <w:tcW w:type="dxa" w:w="8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Weight</w:t>
            </w:r>
          </w:p>
        </w:tc>
      </w:tr>
      <w:tr>
        <w:tc>
          <w:tcPr>
            <w:tcW w:type="dxa" w:w="24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Algorithm Vulnerability</w:t>
            </w:r>
          </w:p>
        </w:tc>
        <w:tc>
          <w:tcPr>
            <w:tcW w:type="dxa" w:w="39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Is the algorithm broken by Shor's or Grover's algorithm?</w:t>
            </w:r>
          </w:p>
        </w:tc>
        <w:tc>
          <w:tcPr>
            <w:tcW w:type="dxa" w:w="22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RSA-2048 = High risk</w:t>
            </w:r>
          </w:p>
        </w:tc>
        <w:tc>
          <w:tcPr>
            <w:tcW w:type="dxa" w:w="8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pPr>
              <w:jc w:val="center"/>
            </w:pPr>
            <w:r>
              <w:rPr>
                <w:rFonts w:ascii="Arial" w:cs="Arial" w:eastAsia="Arial" w:hAnsi="Arial"/>
                <w:b/>
                <w:bCs/>
                <w:color w:val="1A6FE8"/>
                <w:sz w:val="20"/>
                <w:szCs w:val="20"/>
              </w:rPr>
              <w:t xml:space="preserve">40%</w:t>
            </w:r>
          </w:p>
        </w:tc>
      </w:tr>
      <w:tr>
        <w:tc>
          <w:tcPr>
            <w:tcW w:type="dxa" w:w="24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b/>
                <w:bCs/>
                <w:color w:val="0A1628"/>
                <w:sz w:val="20"/>
                <w:szCs w:val="20"/>
              </w:rPr>
              <w:t xml:space="preserve">Data Sensitivity &amp; Retention</w:t>
            </w:r>
          </w:p>
        </w:tc>
        <w:tc>
          <w:tcPr>
            <w:tcW w:type="dxa" w:w="396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How sensitive is the data? How long must it remain confidential?</w:t>
            </w:r>
          </w:p>
        </w:tc>
        <w:tc>
          <w:tcPr>
            <w:tcW w:type="dxa" w:w="22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PII retained 10yr = High</w:t>
            </w:r>
          </w:p>
        </w:tc>
        <w:tc>
          <w:tcPr>
            <w:tcW w:type="dxa" w:w="8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pPr>
              <w:jc w:val="center"/>
            </w:pPr>
            <w:r>
              <w:rPr>
                <w:rFonts w:ascii="Arial" w:cs="Arial" w:eastAsia="Arial" w:hAnsi="Arial"/>
                <w:b/>
                <w:bCs/>
                <w:color w:val="1A6FE8"/>
                <w:sz w:val="20"/>
                <w:szCs w:val="20"/>
              </w:rPr>
              <w:t xml:space="preserve">35%</w:t>
            </w:r>
          </w:p>
        </w:tc>
      </w:tr>
      <w:tr>
        <w:tc>
          <w:tcPr>
            <w:tcW w:type="dxa" w:w="24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Migration Complexity</w:t>
            </w:r>
          </w:p>
        </w:tc>
        <w:tc>
          <w:tcPr>
            <w:tcW w:type="dxa" w:w="39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How difficult is it to replace this component with a PQC alternative?</w:t>
            </w:r>
          </w:p>
        </w:tc>
        <w:tc>
          <w:tcPr>
            <w:tcW w:type="dxa" w:w="22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Hardware HSM = High complexity</w:t>
            </w:r>
          </w:p>
        </w:tc>
        <w:tc>
          <w:tcPr>
            <w:tcW w:type="dxa" w:w="8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pPr>
              <w:jc w:val="center"/>
            </w:pPr>
            <w:r>
              <w:rPr>
                <w:rFonts w:ascii="Arial" w:cs="Arial" w:eastAsia="Arial" w:hAnsi="Arial"/>
                <w:b/>
                <w:bCs/>
                <w:color w:val="1A6FE8"/>
                <w:sz w:val="20"/>
                <w:szCs w:val="20"/>
              </w:rPr>
              <w:t xml:space="preserve">25%</w:t>
            </w:r>
          </w:p>
        </w:tc>
      </w:tr>
    </w:tbl>
    <w:p>
      <w:r>
        <w:br w:type="page"/>
      </w:r>
    </w:p>
    <w:p>
      <w:pPr>
        <w:pStyle w:val="Heading1"/>
        <w:spacing w:after="120" w:before="400"/>
      </w:pPr>
      <w:r>
        <w:rPr>
          <w:rFonts w:ascii="Arial" w:cs="Arial" w:eastAsia="Arial" w:hAnsi="Arial"/>
          <w:b/>
          <w:bCs/>
          <w:color w:val="0A1628"/>
          <w:sz w:val="28"/>
          <w:szCs w:val="28"/>
        </w:rPr>
        <w:t xml:space="preserve">5. Recommended Migration Roadmap</w:t>
      </w:r>
    </w:p>
    <w:p>
      <w:pPr>
        <w:pBdr>
          <w:bottom w:val="single" w:color="1A6FE8" w:sz="6" w:space="4"/>
        </w:pBdr>
        <w:spacing w:after="160" w:before="320"/>
      </w:pPr>
    </w:p>
    <w:p>
      <w:pPr>
        <w:spacing w:after="80" w:before="80"/>
      </w:pPr>
      <w:r>
        <w:rPr>
          <w:rFonts w:ascii="Arial" w:cs="Arial" w:eastAsia="Arial" w:hAnsi="Arial"/>
          <w:color w:val="4A5568"/>
          <w:sz w:val="22"/>
          <w:szCs w:val="22"/>
        </w:rPr>
        <w:t xml:space="preserve">Based on this assessment, the following phased migration approach is recommended. Timeline estimates assume a dedicated internal team of 1–2 engineers working with Quantalabs as the technical partner.</w:t>
      </w:r>
    </w:p>
    <w:p>
      <w:pPr>
        <w:spacing w:after="0" w:before="120"/>
      </w:pPr>
    </w:p>
    <w:p>
      <w:pPr>
        <w:pStyle w:val="Heading2"/>
        <w:spacing w:after="100" w:before="280"/>
      </w:pPr>
      <w:r>
        <w:rPr>
          <w:rFonts w:ascii="Arial" w:cs="Arial" w:eastAsia="Arial" w:hAnsi="Arial"/>
          <w:b/>
          <w:bCs/>
          <w:color w:val="1A6FE8"/>
          <w:sz w:val="22"/>
          <w:szCs w:val="22"/>
        </w:rPr>
        <w:t xml:space="preserve">Phase 1 — Cryptographic Inventory (Weeks 1–3)</w:t>
      </w:r>
    </w:p>
    <w:p>
      <w:pPr>
        <w:pStyle w:val="ListParagraph"/>
        <w:numPr>
          <w:ilvl w:val="0"/>
          <w:numId w:val="2"/>
        </w:numPr>
        <w:spacing w:after="60" w:before="60"/>
      </w:pPr>
      <w:r>
        <w:rPr>
          <w:rFonts w:ascii="Arial" w:cs="Arial" w:eastAsia="Arial" w:hAnsi="Arial"/>
          <w:color w:val="4A5568"/>
          <w:sz w:val="22"/>
          <w:szCs w:val="22"/>
        </w:rPr>
        <w:t xml:space="preserve">Automated scan of all codebases, configs, and infrastructure for classical crypto usage</w:t>
      </w:r>
    </w:p>
    <w:p>
      <w:pPr>
        <w:pStyle w:val="ListParagraph"/>
        <w:numPr>
          <w:ilvl w:val="0"/>
          <w:numId w:val="2"/>
        </w:numPr>
        <w:spacing w:after="60" w:before="60"/>
      </w:pPr>
      <w:r>
        <w:rPr>
          <w:rFonts w:ascii="Arial" w:cs="Arial" w:eastAsia="Arial" w:hAnsi="Arial"/>
          <w:color w:val="4A5568"/>
          <w:sz w:val="22"/>
          <w:szCs w:val="22"/>
        </w:rPr>
        <w:t xml:space="preserve">Catalogue all certificates, key types, expiry dates, and signing schemes</w:t>
      </w:r>
    </w:p>
    <w:p>
      <w:pPr>
        <w:pStyle w:val="ListParagraph"/>
        <w:numPr>
          <w:ilvl w:val="0"/>
          <w:numId w:val="2"/>
        </w:numPr>
        <w:spacing w:after="60" w:before="60"/>
      </w:pPr>
      <w:r>
        <w:rPr>
          <w:rFonts w:ascii="Arial" w:cs="Arial" w:eastAsia="Arial" w:hAnsi="Arial"/>
          <w:color w:val="4A5568"/>
          <w:sz w:val="22"/>
          <w:szCs w:val="22"/>
        </w:rPr>
        <w:t xml:space="preserve">Document all third-party dependencies and their PQC readiness status</w:t>
      </w:r>
    </w:p>
    <w:p>
      <w:pPr>
        <w:pStyle w:val="ListParagraph"/>
        <w:numPr>
          <w:ilvl w:val="0"/>
          <w:numId w:val="2"/>
        </w:numPr>
        <w:spacing w:after="60" w:before="60"/>
      </w:pPr>
      <w:r>
        <w:rPr>
          <w:rFonts w:ascii="Arial" w:cs="Arial" w:eastAsia="Arial" w:hAnsi="Arial"/>
          <w:color w:val="4A5568"/>
          <w:sz w:val="22"/>
          <w:szCs w:val="22"/>
        </w:rPr>
        <w:t xml:space="preserve">Output: Full cryptographic bill of materials (CBOM)</w:t>
      </w:r>
    </w:p>
    <w:p>
      <w:pPr>
        <w:spacing w:after="0" w:before="100"/>
      </w:pPr>
    </w:p>
    <w:p>
      <w:pPr>
        <w:pStyle w:val="Heading2"/>
        <w:spacing w:after="100" w:before="280"/>
      </w:pPr>
      <w:r>
        <w:rPr>
          <w:rFonts w:ascii="Arial" w:cs="Arial" w:eastAsia="Arial" w:hAnsi="Arial"/>
          <w:b/>
          <w:bCs/>
          <w:color w:val="1A6FE8"/>
          <w:sz w:val="22"/>
          <w:szCs w:val="22"/>
        </w:rPr>
        <w:t xml:space="preserve">Phase 2 — High-Risk Remediation (Weeks 4–10)</w:t>
      </w:r>
    </w:p>
    <w:p>
      <w:pPr>
        <w:pStyle w:val="ListParagraph"/>
        <w:numPr>
          <w:ilvl w:val="0"/>
          <w:numId w:val="2"/>
        </w:numPr>
        <w:spacing w:after="60" w:before="60"/>
      </w:pPr>
      <w:r>
        <w:rPr>
          <w:rFonts w:ascii="Arial" w:cs="Arial" w:eastAsia="Arial" w:hAnsi="Arial"/>
          <w:color w:val="4A5568"/>
          <w:sz w:val="22"/>
          <w:szCs w:val="22"/>
        </w:rPr>
        <w:t xml:space="preserve">Replace RSA key exchange with ML-KEM (Kyber-768) in API/TLS layer</w:t>
      </w:r>
    </w:p>
    <w:p>
      <w:pPr>
        <w:pStyle w:val="ListParagraph"/>
        <w:numPr>
          <w:ilvl w:val="0"/>
          <w:numId w:val="2"/>
        </w:numPr>
        <w:spacing w:after="60" w:before="60"/>
      </w:pPr>
      <w:r>
        <w:rPr>
          <w:rFonts w:ascii="Arial" w:cs="Arial" w:eastAsia="Arial" w:hAnsi="Arial"/>
          <w:color w:val="4A5568"/>
          <w:sz w:val="22"/>
          <w:szCs w:val="22"/>
        </w:rPr>
        <w:t xml:space="preserve">Migrate JWT signing from ECDSA to Falcon-512 (NIST FIPS 204)</w:t>
      </w:r>
    </w:p>
    <w:p>
      <w:pPr>
        <w:pStyle w:val="ListParagraph"/>
        <w:numPr>
          <w:ilvl w:val="0"/>
          <w:numId w:val="2"/>
        </w:numPr>
        <w:spacing w:after="60" w:before="60"/>
      </w:pPr>
      <w:r>
        <w:rPr>
          <w:rFonts w:ascii="Arial" w:cs="Arial" w:eastAsia="Arial" w:hAnsi="Arial"/>
          <w:color w:val="4A5568"/>
          <w:sz w:val="22"/>
          <w:szCs w:val="22"/>
        </w:rPr>
        <w:t xml:space="preserve">Implement hybrid mode — run classical + PQC simultaneously during transition</w:t>
      </w:r>
    </w:p>
    <w:p>
      <w:pPr>
        <w:pStyle w:val="ListParagraph"/>
        <w:numPr>
          <w:ilvl w:val="0"/>
          <w:numId w:val="2"/>
        </w:numPr>
        <w:spacing w:after="60" w:before="60"/>
      </w:pPr>
      <w:r>
        <w:rPr>
          <w:rFonts w:ascii="Arial" w:cs="Arial" w:eastAsia="Arial" w:hAnsi="Arial"/>
          <w:color w:val="4A5568"/>
          <w:sz w:val="22"/>
          <w:szCs w:val="22"/>
        </w:rPr>
        <w:t xml:space="preserve">Output: Quantum-safe API and authentication layer</w:t>
      </w:r>
    </w:p>
    <w:p>
      <w:pPr>
        <w:spacing w:after="0" w:before="100"/>
      </w:pPr>
    </w:p>
    <w:p>
      <w:pPr>
        <w:pStyle w:val="Heading2"/>
        <w:spacing w:after="100" w:before="280"/>
      </w:pPr>
      <w:r>
        <w:rPr>
          <w:rFonts w:ascii="Arial" w:cs="Arial" w:eastAsia="Arial" w:hAnsi="Arial"/>
          <w:b/>
          <w:bCs/>
          <w:color w:val="1A6FE8"/>
          <w:sz w:val="22"/>
          <w:szCs w:val="22"/>
        </w:rPr>
        <w:t xml:space="preserve">Phase 3 — Infrastructure &amp; PKI Migration (Weeks 11–20)</w:t>
      </w:r>
    </w:p>
    <w:p>
      <w:pPr>
        <w:pStyle w:val="ListParagraph"/>
        <w:numPr>
          <w:ilvl w:val="0"/>
          <w:numId w:val="2"/>
        </w:numPr>
        <w:spacing w:after="60" w:before="60"/>
      </w:pPr>
      <w:r>
        <w:rPr>
          <w:rFonts w:ascii="Arial" w:cs="Arial" w:eastAsia="Arial" w:hAnsi="Arial"/>
          <w:color w:val="4A5568"/>
          <w:sz w:val="22"/>
          <w:szCs w:val="22"/>
        </w:rPr>
        <w:t xml:space="preserve">Replace certificate authority chain with PQC-capable CA</w:t>
      </w:r>
    </w:p>
    <w:p>
      <w:pPr>
        <w:pStyle w:val="ListParagraph"/>
        <w:numPr>
          <w:ilvl w:val="0"/>
          <w:numId w:val="2"/>
        </w:numPr>
        <w:spacing w:after="60" w:before="60"/>
      </w:pPr>
      <w:r>
        <w:rPr>
          <w:rFonts w:ascii="Arial" w:cs="Arial" w:eastAsia="Arial" w:hAnsi="Arial"/>
          <w:color w:val="4A5568"/>
          <w:sz w:val="22"/>
          <w:szCs w:val="22"/>
        </w:rPr>
        <w:t xml:space="preserve">Migrate internal service mesh communications</w:t>
      </w:r>
    </w:p>
    <w:p>
      <w:pPr>
        <w:pStyle w:val="ListParagraph"/>
        <w:numPr>
          <w:ilvl w:val="0"/>
          <w:numId w:val="2"/>
        </w:numPr>
        <w:spacing w:after="60" w:before="60"/>
      </w:pPr>
      <w:r>
        <w:rPr>
          <w:rFonts w:ascii="Arial" w:cs="Arial" w:eastAsia="Arial" w:hAnsi="Arial"/>
          <w:color w:val="4A5568"/>
          <w:sz w:val="22"/>
          <w:szCs w:val="22"/>
        </w:rPr>
        <w:t xml:space="preserve">Update backup encryption key derivation to PQC-safe KDFs</w:t>
      </w:r>
    </w:p>
    <w:p>
      <w:pPr>
        <w:pStyle w:val="ListParagraph"/>
        <w:numPr>
          <w:ilvl w:val="0"/>
          <w:numId w:val="2"/>
        </w:numPr>
        <w:spacing w:after="60" w:before="60"/>
      </w:pPr>
      <w:r>
        <w:rPr>
          <w:rFonts w:ascii="Arial" w:cs="Arial" w:eastAsia="Arial" w:hAnsi="Arial"/>
          <w:color w:val="4A5568"/>
          <w:sz w:val="22"/>
          <w:szCs w:val="22"/>
        </w:rPr>
        <w:t xml:space="preserve">Output: Fully PQC-capable production infrastructure</w:t>
      </w:r>
    </w:p>
    <w:p>
      <w:pPr>
        <w:spacing w:after="0" w:before="100"/>
      </w:pPr>
    </w:p>
    <w:p>
      <w:pPr>
        <w:pStyle w:val="Heading2"/>
        <w:spacing w:after="100" w:before="280"/>
      </w:pPr>
      <w:r>
        <w:rPr>
          <w:rFonts w:ascii="Arial" w:cs="Arial" w:eastAsia="Arial" w:hAnsi="Arial"/>
          <w:b/>
          <w:bCs/>
          <w:color w:val="1A6FE8"/>
          <w:sz w:val="22"/>
          <w:szCs w:val="22"/>
        </w:rPr>
        <w:t xml:space="preserve">Phase 4 — Compliance &amp; Continuous Monitoring (Ongoing)</w:t>
      </w:r>
    </w:p>
    <w:p>
      <w:pPr>
        <w:pStyle w:val="ListParagraph"/>
        <w:numPr>
          <w:ilvl w:val="0"/>
          <w:numId w:val="2"/>
        </w:numPr>
        <w:spacing w:after="60" w:before="60"/>
      </w:pPr>
      <w:r>
        <w:rPr>
          <w:rFonts w:ascii="Arial" w:cs="Arial" w:eastAsia="Arial" w:hAnsi="Arial"/>
          <w:color w:val="4A5568"/>
          <w:sz w:val="22"/>
          <w:szCs w:val="22"/>
        </w:rPr>
        <w:t xml:space="preserve">Implement cryptographic agility layer — ability to swap algorithms without full redeployment</w:t>
      </w:r>
    </w:p>
    <w:p>
      <w:pPr>
        <w:pStyle w:val="ListParagraph"/>
        <w:numPr>
          <w:ilvl w:val="0"/>
          <w:numId w:val="2"/>
        </w:numPr>
        <w:spacing w:after="60" w:before="60"/>
      </w:pPr>
      <w:r>
        <w:rPr>
          <w:rFonts w:ascii="Arial" w:cs="Arial" w:eastAsia="Arial" w:hAnsi="Arial"/>
          <w:color w:val="4A5568"/>
          <w:sz w:val="22"/>
          <w:szCs w:val="22"/>
        </w:rPr>
        <w:t xml:space="preserve">Establish quarterly cryptographic audit cadence aligned to NIST updates</w:t>
      </w:r>
    </w:p>
    <w:p>
      <w:pPr>
        <w:pStyle w:val="ListParagraph"/>
        <w:numPr>
          <w:ilvl w:val="0"/>
          <w:numId w:val="2"/>
        </w:numPr>
        <w:spacing w:after="60" w:before="60"/>
      </w:pPr>
      <w:r>
        <w:rPr>
          <w:rFonts w:ascii="Arial" w:cs="Arial" w:eastAsia="Arial" w:hAnsi="Arial"/>
          <w:color w:val="4A5568"/>
          <w:sz w:val="22"/>
          <w:szCs w:val="22"/>
        </w:rPr>
        <w:t xml:space="preserve">Documentation and compliance reporting for RBI / SEBI / auditors</w:t>
      </w:r>
    </w:p>
    <w:p>
      <w:pPr>
        <w:pStyle w:val="ListParagraph"/>
        <w:numPr>
          <w:ilvl w:val="0"/>
          <w:numId w:val="2"/>
        </w:numPr>
        <w:spacing w:after="60" w:before="60"/>
      </w:pPr>
      <w:r>
        <w:rPr>
          <w:rFonts w:ascii="Arial" w:cs="Arial" w:eastAsia="Arial" w:hAnsi="Arial"/>
          <w:color w:val="4A5568"/>
          <w:sz w:val="22"/>
          <w:szCs w:val="22"/>
        </w:rPr>
        <w:t xml:space="preserve">Output: Audit-ready PQC compliance posture</w:t>
      </w:r>
    </w:p>
    <w:p>
      <w:r>
        <w:br w:type="page"/>
      </w:r>
    </w:p>
    <w:p>
      <w:pPr>
        <w:pStyle w:val="Heading1"/>
        <w:spacing w:after="120" w:before="400"/>
      </w:pPr>
      <w:r>
        <w:rPr>
          <w:rFonts w:ascii="Arial" w:cs="Arial" w:eastAsia="Arial" w:hAnsi="Arial"/>
          <w:b/>
          <w:bCs/>
          <w:color w:val="0A1628"/>
          <w:sz w:val="28"/>
          <w:szCs w:val="28"/>
        </w:rPr>
        <w:t xml:space="preserve">6. NIST PQC Standards Reference</w:t>
      </w:r>
    </w:p>
    <w:p>
      <w:pPr>
        <w:pBdr>
          <w:bottom w:val="single" w:color="1A6FE8" w:sz="6" w:space="4"/>
        </w:pBdr>
        <w:spacing w:after="160" w:before="320"/>
      </w:pPr>
    </w:p>
    <w:p>
      <w:pPr>
        <w:spacing w:after="80" w:before="80"/>
      </w:pPr>
      <w:r>
        <w:rPr>
          <w:rFonts w:ascii="Arial" w:cs="Arial" w:eastAsia="Arial" w:hAnsi="Arial"/>
          <w:color w:val="4A5568"/>
          <w:sz w:val="22"/>
          <w:szCs w:val="22"/>
        </w:rPr>
        <w:t xml:space="preserve">The following NIST-standardised algorithms are recommended for adoption. All three were finalised in August 2024 and are the only algorithms currently endorsed for use by US Federal agencies and globally recognised standards bodies.</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400"/>
        <w:gridCol w:w="2760"/>
      </w:tblGrid>
      <w:tr>
        <w:trPr>
          <w:tblHeader/>
        </w:trPr>
        <w:tc>
          <w:tcPr>
            <w:tcW w:type="dxa" w:w="18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Standard</w:t>
            </w:r>
          </w:p>
        </w:tc>
        <w:tc>
          <w:tcPr>
            <w:tcW w:type="dxa" w:w="24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Algorithm</w:t>
            </w:r>
          </w:p>
        </w:tc>
        <w:tc>
          <w:tcPr>
            <w:tcW w:type="dxa" w:w="240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Use Case</w:t>
            </w:r>
          </w:p>
        </w:tc>
        <w:tc>
          <w:tcPr>
            <w:tcW w:type="dxa" w:w="2760"/>
            <w:tcBorders>
              <w:top w:val="single" w:color="D1DCF0" w:sz="1"/>
              <w:left w:val="single" w:color="D1DCF0" w:sz="1"/>
              <w:bottom w:val="single" w:color="D1DCF0" w:sz="1"/>
              <w:right w:val="single" w:color="D1DCF0" w:sz="1"/>
            </w:tcBorders>
            <w:shd w:fill="0A1628" w:val="clear"/>
            <w:tcMar>
              <w:top w:type="dxa" w:w="100"/>
              <w:left w:type="dxa" w:w="160"/>
              <w:bottom w:type="dxa" w:w="100"/>
              <w:right w:type="dxa" w:w="160"/>
            </w:tcMar>
          </w:tcPr>
          <w:p>
            <w:r>
              <w:rPr>
                <w:rFonts w:ascii="Arial" w:cs="Arial" w:eastAsia="Arial" w:hAnsi="Arial"/>
                <w:b/>
                <w:bCs/>
                <w:color w:val="FFFFFF"/>
                <w:sz w:val="20"/>
                <w:szCs w:val="20"/>
              </w:rPr>
              <w:t xml:space="preserve">Replaces</w:t>
            </w:r>
          </w:p>
        </w:tc>
      </w:tr>
      <w:tr>
        <w:tc>
          <w:tcPr>
            <w:tcW w:type="dxa" w:w="1800"/>
            <w:tcBorders>
              <w:top w:val="single" w:color="D1DCF0" w:sz="1"/>
              <w:left w:val="single" w:color="D1DCF0" w:sz="1"/>
              <w:bottom w:val="single" w:color="D1DCF0" w:sz="1"/>
              <w:right w:val="single" w:color="D1DCF0" w:sz="1"/>
            </w:tcBorders>
            <w:shd w:fill="E8F0FC" w:val="clear"/>
            <w:tcMar>
              <w:top w:type="dxa" w:w="100"/>
              <w:left w:type="dxa" w:w="160"/>
              <w:bottom w:type="dxa" w:w="100"/>
              <w:right w:type="dxa" w:w="160"/>
            </w:tcMar>
          </w:tcPr>
          <w:p>
            <w:r>
              <w:rPr>
                <w:rFonts w:ascii="Arial" w:cs="Arial" w:eastAsia="Arial" w:hAnsi="Arial"/>
                <w:b/>
                <w:bCs/>
                <w:color w:val="1A6FE8"/>
                <w:sz w:val="20"/>
                <w:szCs w:val="20"/>
              </w:rPr>
              <w:t xml:space="preserve">FIPS 203</w:t>
            </w:r>
          </w:p>
        </w:tc>
        <w:tc>
          <w:tcPr>
            <w:tcW w:type="dxa" w:w="24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ML-KEM (Kyber)</w:t>
            </w:r>
          </w:p>
        </w:tc>
        <w:tc>
          <w:tcPr>
            <w:tcW w:type="dxa" w:w="24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Key encapsulation / exchange</w:t>
            </w:r>
          </w:p>
        </w:tc>
        <w:tc>
          <w:tcPr>
            <w:tcW w:type="dxa" w:w="27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RSA, ECDH, Diffie-Hellman</w:t>
            </w:r>
          </w:p>
        </w:tc>
      </w:tr>
      <w:tr>
        <w:tc>
          <w:tcPr>
            <w:tcW w:type="dxa" w:w="1800"/>
            <w:tcBorders>
              <w:top w:val="single" w:color="D1DCF0" w:sz="1"/>
              <w:left w:val="single" w:color="D1DCF0" w:sz="1"/>
              <w:bottom w:val="single" w:color="D1DCF0" w:sz="1"/>
              <w:right w:val="single" w:color="D1DCF0" w:sz="1"/>
            </w:tcBorders>
            <w:shd w:fill="E8F0FC" w:val="clear"/>
            <w:tcMar>
              <w:top w:type="dxa" w:w="100"/>
              <w:left w:type="dxa" w:w="160"/>
              <w:bottom w:type="dxa" w:w="100"/>
              <w:right w:type="dxa" w:w="160"/>
            </w:tcMar>
          </w:tcPr>
          <w:p>
            <w:r>
              <w:rPr>
                <w:rFonts w:ascii="Arial" w:cs="Arial" w:eastAsia="Arial" w:hAnsi="Arial"/>
                <w:b/>
                <w:bCs/>
                <w:color w:val="1A6FE8"/>
                <w:sz w:val="20"/>
                <w:szCs w:val="20"/>
              </w:rPr>
              <w:t xml:space="preserve">FIPS 204</w:t>
            </w:r>
          </w:p>
        </w:tc>
        <w:tc>
          <w:tcPr>
            <w:tcW w:type="dxa" w:w="24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b/>
                <w:bCs/>
                <w:color w:val="0A1628"/>
                <w:sz w:val="20"/>
                <w:szCs w:val="20"/>
              </w:rPr>
              <w:t xml:space="preserve">ML-DSA (Falcon-512 / Dilithium)</w:t>
            </w:r>
          </w:p>
        </w:tc>
        <w:tc>
          <w:tcPr>
            <w:tcW w:type="dxa" w:w="240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Digital signatures</w:t>
            </w:r>
          </w:p>
        </w:tc>
        <w:tc>
          <w:tcPr>
            <w:tcW w:type="dxa" w:w="2760"/>
            <w:tcBorders>
              <w:top w:val="single" w:color="D1DCF0" w:sz="1"/>
              <w:left w:val="single" w:color="D1DCF0" w:sz="1"/>
              <w:bottom w:val="single" w:color="D1DCF0" w:sz="1"/>
              <w:right w:val="single" w:color="D1DCF0" w:sz="1"/>
            </w:tcBorders>
            <w:shd w:fill="F7F9FC" w:val="clear"/>
            <w:tcMar>
              <w:top w:type="dxa" w:w="100"/>
              <w:left w:type="dxa" w:w="160"/>
              <w:bottom w:type="dxa" w:w="100"/>
              <w:right w:type="dxa" w:w="160"/>
            </w:tcMar>
          </w:tcPr>
          <w:p>
            <w:r>
              <w:rPr>
                <w:rFonts w:ascii="Arial" w:cs="Arial" w:eastAsia="Arial" w:hAnsi="Arial"/>
                <w:color w:val="4A5568"/>
                <w:sz w:val="20"/>
                <w:szCs w:val="20"/>
              </w:rPr>
              <w:t xml:space="preserve">RSA-PSS, ECDSA, EdDSA</w:t>
            </w:r>
          </w:p>
        </w:tc>
      </w:tr>
      <w:tr>
        <w:tc>
          <w:tcPr>
            <w:tcW w:type="dxa" w:w="1800"/>
            <w:tcBorders>
              <w:top w:val="single" w:color="D1DCF0" w:sz="1"/>
              <w:left w:val="single" w:color="D1DCF0" w:sz="1"/>
              <w:bottom w:val="single" w:color="D1DCF0" w:sz="1"/>
              <w:right w:val="single" w:color="D1DCF0" w:sz="1"/>
            </w:tcBorders>
            <w:shd w:fill="E8F0FC" w:val="clear"/>
            <w:tcMar>
              <w:top w:type="dxa" w:w="100"/>
              <w:left w:type="dxa" w:w="160"/>
              <w:bottom w:type="dxa" w:w="100"/>
              <w:right w:type="dxa" w:w="160"/>
            </w:tcMar>
          </w:tcPr>
          <w:p>
            <w:r>
              <w:rPr>
                <w:rFonts w:ascii="Arial" w:cs="Arial" w:eastAsia="Arial" w:hAnsi="Arial"/>
                <w:b/>
                <w:bCs/>
                <w:color w:val="1A6FE8"/>
                <w:sz w:val="20"/>
                <w:szCs w:val="20"/>
              </w:rPr>
              <w:t xml:space="preserve">FIPS 205</w:t>
            </w:r>
          </w:p>
        </w:tc>
        <w:tc>
          <w:tcPr>
            <w:tcW w:type="dxa" w:w="24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b/>
                <w:bCs/>
                <w:color w:val="0A1628"/>
                <w:sz w:val="20"/>
                <w:szCs w:val="20"/>
              </w:rPr>
              <w:t xml:space="preserve">SLH-DSA (SPHINCS+)</w:t>
            </w:r>
          </w:p>
        </w:tc>
        <w:tc>
          <w:tcPr>
            <w:tcW w:type="dxa" w:w="240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Stateless hash-based signatures</w:t>
            </w:r>
          </w:p>
        </w:tc>
        <w:tc>
          <w:tcPr>
            <w:tcW w:type="dxa" w:w="2760"/>
            <w:tcBorders>
              <w:top w:val="single" w:color="D1DCF0" w:sz="1"/>
              <w:left w:val="single" w:color="D1DCF0" w:sz="1"/>
              <w:bottom w:val="single" w:color="D1DCF0" w:sz="1"/>
              <w:right w:val="single" w:color="D1DCF0" w:sz="1"/>
            </w:tcBorders>
            <w:shd w:fill="FFFFFF" w:val="clear"/>
            <w:tcMar>
              <w:top w:type="dxa" w:w="100"/>
              <w:left w:type="dxa" w:w="160"/>
              <w:bottom w:type="dxa" w:w="100"/>
              <w:right w:type="dxa" w:w="160"/>
            </w:tcMar>
          </w:tcPr>
          <w:p>
            <w:r>
              <w:rPr>
                <w:rFonts w:ascii="Arial" w:cs="Arial" w:eastAsia="Arial" w:hAnsi="Arial"/>
                <w:color w:val="4A5568"/>
                <w:sz w:val="20"/>
                <w:szCs w:val="20"/>
              </w:rPr>
              <w:t xml:space="preserve">RSA, ECDSA (long-lived certs)</w:t>
            </w:r>
          </w:p>
        </w:tc>
      </w:tr>
    </w:tbl>
    <w:p>
      <w:pPr>
        <w:spacing w:after="0" w:before="160"/>
      </w:pPr>
    </w:p>
    <w:p>
      <w:pPr>
        <w:spacing w:after="80" w:before="80"/>
      </w:pPr>
      <w:r>
        <w:rPr>
          <w:rFonts w:ascii="Arial" w:cs="Arial" w:eastAsia="Arial" w:hAnsi="Arial"/>
          <w:i w:val="false"/>
          <w:iCs w:val="false"/>
          <w:color w:val="4A5568"/>
          <w:sz w:val="22"/>
          <w:szCs w:val="22"/>
        </w:rPr>
        <w:t xml:space="preserve">Quantalabs has production implementation experience with Falcon-512 (FIPS 204) in a live distributed blockchain environment — one of the first teams globally to do so — and can provide implementation support for all three standards.</w:t>
      </w:r>
    </w:p>
    <w:p>
      <w:r>
        <w:br w:type="page"/>
      </w:r>
    </w:p>
    <w:p>
      <w:pPr>
        <w:pStyle w:val="Heading1"/>
        <w:spacing w:after="120" w:before="400"/>
      </w:pPr>
      <w:r>
        <w:rPr>
          <w:rFonts w:ascii="Arial" w:cs="Arial" w:eastAsia="Arial" w:hAnsi="Arial"/>
          <w:b/>
          <w:bCs/>
          <w:color w:val="0A1628"/>
          <w:sz w:val="28"/>
          <w:szCs w:val="28"/>
        </w:rPr>
        <w:t xml:space="preserve">7. About Quantalabs</w:t>
      </w:r>
    </w:p>
    <w:p>
      <w:pPr>
        <w:pBdr>
          <w:bottom w:val="single" w:color="1A6FE8" w:sz="6" w:space="4"/>
        </w:pBdr>
        <w:spacing w:after="160" w:before="320"/>
      </w:pPr>
    </w:p>
    <w:p>
      <w:pPr>
        <w:spacing w:after="80" w:before="80"/>
      </w:pPr>
      <w:r>
        <w:rPr>
          <w:rFonts w:ascii="Arial" w:cs="Arial" w:eastAsia="Arial" w:hAnsi="Arial"/>
          <w:color w:val="4A5568"/>
          <w:sz w:val="22"/>
          <w:szCs w:val="22"/>
        </w:rPr>
        <w:t xml:space="preserve">Quantalabs Private Limited is a post-quantum cryptography engineering firm based in Coimbatore, Tamil Nadu, India. We specialise in PQC migrations, sovereign blockchain infrastructure, and cryptographic security for regulated industries.</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880"/>
      </w:tblGrid>
      <w:tr>
        <w:tc>
          <w:tcPr>
            <w:tcW w:type="dxa" w:w="4480"/>
            <w:tcBorders>
              <w:top w:val="single" w:color="D1DCF0" w:sz="1"/>
              <w:left w:val="single" w:color="D1DCF0" w:sz="1"/>
              <w:bottom w:val="single" w:color="D1DCF0" w:sz="1"/>
              <w:right w:val="single" w:color="D1DCF0" w:sz="1"/>
            </w:tcBorders>
            <w:shd w:fill="F7F9FC" w:val="clear"/>
            <w:tcMar>
              <w:top w:type="dxa" w:w="160"/>
              <w:left w:type="dxa" w:w="200"/>
              <w:bottom w:type="dxa" w:w="160"/>
              <w:right w:type="dxa" w:w="200"/>
            </w:tcMar>
          </w:tcPr>
          <w:p>
            <w:pPr>
              <w:spacing w:after="80" w:before="0"/>
            </w:pPr>
            <w:r>
              <w:rPr>
                <w:rFonts w:ascii="Arial" w:cs="Arial" w:eastAsia="Arial" w:hAnsi="Arial"/>
                <w:b/>
                <w:bCs/>
                <w:color w:val="0A1628"/>
                <w:sz w:val="20"/>
                <w:szCs w:val="20"/>
              </w:rPr>
              <w:t xml:space="preserve">Live Deployments</w:t>
            </w:r>
          </w:p>
          <w:p>
            <w:pPr>
              <w:pStyle w:val="ListParagraph"/>
              <w:numPr>
                <w:ilvl w:val="0"/>
                <w:numId w:val="2"/>
              </w:numPr>
              <w:spacing w:after="60" w:before="0"/>
            </w:pPr>
            <w:r>
              <w:rPr>
                <w:rFonts w:ascii="Arial" w:cs="Arial" w:eastAsia="Arial" w:hAnsi="Arial"/>
                <w:color w:val="4A5568"/>
                <w:sz w:val="20"/>
                <w:szCs w:val="20"/>
              </w:rPr>
              <w:t xml:space="preserve">Quantachain — live Falcon-512 PoW testnet (57,000+ blocks)</w:t>
            </w:r>
          </w:p>
          <w:p>
            <w:pPr>
              <w:pStyle w:val="ListParagraph"/>
              <w:numPr>
                <w:ilvl w:val="0"/>
                <w:numId w:val="3"/>
              </w:numPr>
              <w:spacing w:after="60" w:before="0"/>
            </w:pPr>
            <w:r>
              <w:rPr>
                <w:rFonts w:ascii="Arial" w:cs="Arial" w:eastAsia="Arial" w:hAnsi="Arial"/>
                <w:color w:val="4A5568"/>
                <w:sz w:val="20"/>
                <w:szCs w:val="20"/>
              </w:rPr>
              <w:t xml:space="preserve">Quanta Wallet — Chrome extension with Falcon-512 keypairs</w:t>
            </w:r>
          </w:p>
          <w:p>
            <w:pPr>
              <w:pStyle w:val="ListParagraph"/>
              <w:numPr>
                <w:ilvl w:val="0"/>
                <w:numId w:val="4"/>
              </w:numPr>
              <w:spacing w:after="60" w:before="0"/>
            </w:pPr>
            <w:r>
              <w:rPr>
                <w:rFonts w:ascii="Arial" w:cs="Arial" w:eastAsia="Arial" w:hAnsi="Arial"/>
                <w:color w:val="4A5568"/>
                <w:sz w:val="20"/>
                <w:szCs w:val="20"/>
              </w:rPr>
              <w:t xml:space="preserve">Rust/WASM PQC engine (open source, npm + crates.io)</w:t>
            </w:r>
          </w:p>
        </w:tc>
        <w:tc>
          <w:tcPr>
            <w:tcW w:type="dxa" w:w="4880"/>
            <w:tcBorders>
              <w:top w:val="single" w:color="D1DCF0" w:sz="1"/>
              <w:left w:val="single" w:color="D1DCF0" w:sz="1"/>
              <w:bottom w:val="single" w:color="D1DCF0" w:sz="1"/>
              <w:right w:val="single" w:color="D1DCF0" w:sz="1"/>
            </w:tcBorders>
            <w:shd w:fill="FFFFFF" w:val="clear"/>
            <w:tcMar>
              <w:top w:type="dxa" w:w="160"/>
              <w:left w:type="dxa" w:w="200"/>
              <w:bottom w:type="dxa" w:w="160"/>
              <w:right w:type="dxa" w:w="200"/>
            </w:tcMar>
          </w:tcPr>
          <w:p>
            <w:pPr>
              <w:spacing w:after="80" w:before="0"/>
            </w:pPr>
            <w:r>
              <w:rPr>
                <w:rFonts w:ascii="Arial" w:cs="Arial" w:eastAsia="Arial" w:hAnsi="Arial"/>
                <w:b/>
                <w:bCs/>
                <w:color w:val="0A1628"/>
                <w:sz w:val="20"/>
                <w:szCs w:val="20"/>
              </w:rPr>
              <w:t xml:space="preserve">Research</w:t>
            </w:r>
          </w:p>
          <w:p>
            <w:pPr>
              <w:pStyle w:val="ListParagraph"/>
              <w:numPr>
                <w:ilvl w:val="0"/>
                <w:numId w:val="5"/>
              </w:numPr>
              <w:spacing w:after="60" w:before="0"/>
            </w:pPr>
            <w:r>
              <w:rPr>
                <w:rFonts w:ascii="Arial" w:cs="Arial" w:eastAsia="Arial" w:hAnsi="Arial"/>
                <w:color w:val="4A5568"/>
                <w:sz w:val="20"/>
                <w:szCs w:val="20"/>
              </w:rPr>
              <w:t xml:space="preserve">Published: QUANTA — Production PQC Blockchain (Zenodo, 2026)</w:t>
            </w:r>
          </w:p>
          <w:p>
            <w:pPr>
              <w:pStyle w:val="ListParagraph"/>
              <w:numPr>
                <w:ilvl w:val="0"/>
                <w:numId w:val="6"/>
              </w:numPr>
              <w:spacing w:after="60" w:before="0"/>
            </w:pPr>
            <w:r>
              <w:rPr>
                <w:rFonts w:ascii="Arial" w:cs="Arial" w:eastAsia="Arial" w:hAnsi="Arial"/>
                <w:color w:val="4A5568"/>
                <w:sz w:val="20"/>
                <w:szCs w:val="20"/>
              </w:rPr>
              <w:t xml:space="preserve">Published: Learning with Correlated Errors — new lattice hardness assumption</w:t>
            </w:r>
          </w:p>
        </w:tc>
      </w:tr>
    </w:tbl>
    <w:p>
      <w:pPr>
        <w:spacing w:after="0" w:before="200"/>
      </w:pPr>
    </w:p>
    <w:p>
      <w:pPr>
        <w:pStyle w:val="Heading2"/>
        <w:spacing w:after="100" w:before="280"/>
      </w:pPr>
      <w:r>
        <w:rPr>
          <w:rFonts w:ascii="Arial" w:cs="Arial" w:eastAsia="Arial" w:hAnsi="Arial"/>
          <w:b/>
          <w:bCs/>
          <w:color w:val="1A6FE8"/>
          <w:sz w:val="22"/>
          <w:szCs w:val="22"/>
        </w:rPr>
        <w:t xml:space="preserve">Contact</w:t>
      </w:r>
    </w:p>
    <w:p>
      <w:pPr>
        <w:spacing w:after="60" w:before="60"/>
      </w:pPr>
      <w:r>
        <w:rPr>
          <w:rFonts w:ascii="Arial" w:cs="Arial" w:eastAsia="Arial" w:hAnsi="Arial"/>
          <w:b/>
          <w:bCs/>
          <w:color w:val="0A1628"/>
          <w:sz w:val="22"/>
          <w:szCs w:val="22"/>
        </w:rPr>
        <w:t xml:space="preserve">Website: </w:t>
      </w:r>
      <w:r>
        <w:rPr>
          <w:rFonts w:ascii="Arial" w:cs="Arial" w:eastAsia="Arial" w:hAnsi="Arial"/>
          <w:color w:val="4A5568"/>
          <w:sz w:val="22"/>
          <w:szCs w:val="22"/>
        </w:rPr>
        <w:t xml:space="preserve">www.quantalabs.cc</w:t>
      </w:r>
    </w:p>
    <w:p>
      <w:pPr>
        <w:spacing w:after="60" w:before="60"/>
      </w:pPr>
      <w:r>
        <w:rPr>
          <w:rFonts w:ascii="Arial" w:cs="Arial" w:eastAsia="Arial" w:hAnsi="Arial"/>
          <w:b/>
          <w:bCs/>
          <w:color w:val="0A1628"/>
          <w:sz w:val="22"/>
          <w:szCs w:val="22"/>
        </w:rPr>
        <w:t xml:space="preserve">Email: </w:t>
      </w:r>
      <w:r>
        <w:rPr>
          <w:rFonts w:ascii="Arial" w:cs="Arial" w:eastAsia="Arial" w:hAnsi="Arial"/>
          <w:color w:val="4A5568"/>
          <w:sz w:val="22"/>
          <w:szCs w:val="22"/>
        </w:rPr>
        <w:t xml:space="preserve">enterprise@quantalabs.cc</w:t>
      </w:r>
    </w:p>
    <w:p>
      <w:pPr>
        <w:spacing w:after="60" w:before="60"/>
      </w:pPr>
      <w:r>
        <w:rPr>
          <w:rFonts w:ascii="Arial" w:cs="Arial" w:eastAsia="Arial" w:hAnsi="Arial"/>
          <w:b/>
          <w:bCs/>
          <w:color w:val="0A1628"/>
          <w:sz w:val="22"/>
          <w:szCs w:val="22"/>
        </w:rPr>
        <w:t xml:space="preserve">GitHub: </w:t>
      </w:r>
      <w:r>
        <w:rPr>
          <w:rFonts w:ascii="Arial" w:cs="Arial" w:eastAsia="Arial" w:hAnsi="Arial"/>
          <w:color w:val="4A5568"/>
          <w:sz w:val="22"/>
          <w:szCs w:val="22"/>
        </w:rPr>
        <w:t xml:space="preserve">github.com/quantachain</w:t>
      </w:r>
    </w:p>
    <w:p>
      <w:pPr>
        <w:spacing w:after="60" w:before="60"/>
      </w:pPr>
      <w:r>
        <w:rPr>
          <w:rFonts w:ascii="Arial" w:cs="Arial" w:eastAsia="Arial" w:hAnsi="Arial"/>
          <w:b/>
          <w:bCs/>
          <w:color w:val="0A1628"/>
          <w:sz w:val="22"/>
          <w:szCs w:val="22"/>
        </w:rPr>
        <w:t xml:space="preserve">Address: </w:t>
      </w:r>
      <w:r>
        <w:rPr>
          <w:rFonts w:ascii="Arial" w:cs="Arial" w:eastAsia="Arial" w:hAnsi="Arial"/>
          <w:color w:val="4A5568"/>
          <w:sz w:val="22"/>
          <w:szCs w:val="22"/>
        </w:rPr>
        <w:t xml:space="preserve">Coimbatore, Tamil Nadu, India</w:t>
      </w:r>
    </w:p>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1DCF0" w:sz="1"/>
              <w:left w:val="single" w:color="D1DCF0" w:sz="1"/>
              <w:bottom w:val="single" w:color="D1DCF0" w:sz="1"/>
              <w:right w:val="single" w:color="D1DCF0" w:sz="1"/>
            </w:tcBorders>
            <w:shd w:fill="0A1628" w:val="clear"/>
            <w:tcMar>
              <w:top w:type="dxa" w:w="200"/>
              <w:left w:type="dxa" w:w="240"/>
              <w:bottom w:type="dxa" w:w="200"/>
              <w:right w:type="dxa" w:w="240"/>
            </w:tcMar>
          </w:tcPr>
          <w:p>
            <w:pPr>
              <w:spacing w:after="80" w:before="0"/>
              <w:jc w:val="center"/>
            </w:pPr>
            <w:r>
              <w:rPr>
                <w:rFonts w:ascii="Arial" w:cs="Arial" w:eastAsia="Arial" w:hAnsi="Arial"/>
                <w:b/>
                <w:bCs/>
                <w:color w:val="B8CCF4"/>
                <w:sz w:val="18"/>
                <w:szCs w:val="18"/>
              </w:rPr>
              <w:t xml:space="preserve">CONFIDENTIAL — FOR AUTHORISED RECIPIENTS ONLY</w:t>
            </w:r>
          </w:p>
          <w:p>
            <w:pPr>
              <w:spacing w:after="0" w:before="0"/>
              <w:jc w:val="center"/>
            </w:pPr>
            <w:r>
              <w:rPr>
                <w:rFonts w:ascii="Arial" w:cs="Arial" w:eastAsia="Arial" w:hAnsi="Arial"/>
                <w:i/>
                <w:iCs/>
                <w:color w:val="B8CCF4"/>
                <w:sz w:val="18"/>
                <w:szCs w:val="18"/>
              </w:rPr>
              <w:t xml:space="preserve">This document contains proprietary analysis prepared exclusively for the named client. Do not distribute.</w:t>
            </w:r>
          </w:p>
        </w:tc>
      </w:tr>
    </w:tbl>
    <w:sectPr>
      <w:headerReference w:type="default" r:id="rId7"/>
      <w:footerReference w:type="default" r:id="rId8"/>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CF0" w:sz="4" w:space="6"/>
      </w:pBdr>
      <w:tabs>
        <w:tab w:val="right" w:pos="9026"/>
      </w:tabs>
      <w:spacing w:after="0" w:before="120"/>
    </w:pPr>
    <w:r>
      <w:rPr>
        <w:rFonts w:ascii="Arial" w:cs="Arial" w:eastAsia="Arial" w:hAnsi="Arial"/>
        <w:color w:val="4A5568"/>
        <w:sz w:val="16"/>
        <w:szCs w:val="16"/>
      </w:rPr>
      <w:t xml:space="preserve">© 2025 Quantalabs Pvt Ltd  |  enterprise@quantalabs.cc  |  www.quantalabs.cc</w:t>
    </w:r>
    <w:r>
      <w:rPr>
        <w:rFonts w:ascii="Arial" w:cs="Arial" w:eastAsia="Arial" w:hAnsi="Arial"/>
        <w:color w:val="4A5568"/>
        <w:sz w:val="16"/>
        <w:szCs w:val="16"/>
      </w:rPr>
      <w:t xml:space="preserve">	Page </w:t>
    </w: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FE8" w:sz="4" w:space="6"/>
      </w:pBdr>
      <w:tabs>
        <w:tab w:val="right" w:pos="9026"/>
      </w:tabs>
      <w:spacing w:after="120" w:before="0"/>
    </w:pPr>
    <w:r>
      <w:rPr>
        <w:rFonts w:ascii="Arial" w:cs="Arial" w:eastAsia="Arial" w:hAnsi="Arial"/>
        <w:b/>
        <w:bCs/>
        <w:color w:val="0A1628"/>
        <w:sz w:val="18"/>
        <w:szCs w:val="18"/>
      </w:rPr>
      <w:t xml:space="preserve">QUANTALABS — PQC READINESS ASSESSMENT</w:t>
    </w:r>
    <w:r>
      <w:rPr>
        <w:rFonts w:ascii="Arial" w:cs="Arial" w:eastAsia="Arial" w:hAnsi="Arial"/>
        <w:color w:val="4A5568"/>
        <w:sz w:val="18"/>
        <w:szCs w:val="18"/>
      </w:rPr>
      <w:t xml:space="preserve">	[CLIENT NAME]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bullet"/>
      <w:lvlText w:val="•"/>
      <w:lvlJc w:val="left"/>
      <w:pPr>
        <w:ind w:left="540" w:hanging="280"/>
      </w:pPr>
    </w:lvl>
  </w:abstractNum>
  <w:abstractNum w:abstractNumId="4" w15:restartNumberingAfterBreak="0">
    <w:multiLevelType w:val="hybridMultilevel"/>
    <w:lvl w:ilvl="0" w15:tentative="1">
      <w:start w:val="1"/>
      <w:numFmt w:val="bullet"/>
      <w:lvlText w:val="•"/>
      <w:lvlJc w:val="left"/>
      <w:pPr>
        <w:ind w:left="540" w:hanging="280"/>
      </w:pPr>
    </w:lvl>
  </w:abstractNum>
  <w:abstractNum w:abstractNumId="5" w15:restartNumberingAfterBreak="0">
    <w:multiLevelType w:val="hybridMultilevel"/>
    <w:lvl w:ilvl="0" w15:tentative="1">
      <w:start w:val="1"/>
      <w:numFmt w:val="bullet"/>
      <w:lvlText w:val="•"/>
      <w:lvlJc w:val="left"/>
      <w:pPr>
        <w:ind w:left="540" w:hanging="280"/>
      </w:pPr>
    </w:lvl>
  </w:abstractNum>
  <w:abstractNum w:abstractNumId="6"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0A1628"/>
      <w:sz w:val="28"/>
      <w:szCs w:val="28"/>
    </w:rPr>
  </w:style>
  <w:style w:type="paragraph" w:styleId="Heading2">
    <w:name w:val="Heading 2"/>
    <w:basedOn w:val="Normal"/>
    <w:next w:val="Normal"/>
    <w:qFormat/>
    <w:pPr>
      <w:spacing w:after="100" w:before="280"/>
      <w:outlineLvl w:val="1"/>
    </w:pPr>
    <w:rPr>
      <w:rFonts w:ascii="Arial" w:cs="Arial" w:eastAsia="Arial" w:hAnsi="Arial"/>
      <w:b/>
      <w:bCs/>
      <w:color w:val="1A6FE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2026-04-25T03:11:51.616Z</dcterms:created>
  <dcterms:modified xsi:type="dcterms:W3CDTF">2026-04-25T03:11:51.618Z</dcterms:modified>
</cp:coreProperties>
</file>

<file path=docProps/custom.xml><?xml version="1.0" encoding="utf-8"?>
<Properties xmlns="http://schemas.openxmlformats.org/officeDocument/2006/custom-properties" xmlns:vt="http://schemas.openxmlformats.org/officeDocument/2006/docPropsVTypes"/>
</file>